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5A63AD5" w14:textId="30717853"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Calibri" w:hAnsi="Calibri"/>
          <w:sz w:val="21"/>
          <w:szCs w:val="21"/>
        </w:rPr>
        <w:t>Northwest Portland Area Indian Health Board</w:t>
      </w:r>
      <w:r w:rsidRPr="007E167A">
        <w:rPr>
          <w:rFonts w:ascii="Calibri" w:eastAsia="Arial" w:hAnsi="Calibri" w:cs="Calibri"/>
          <w:sz w:val="21"/>
          <w:szCs w:val="21"/>
        </w:rPr>
        <w:t xml:space="preserve"> </w:t>
      </w:r>
      <w:bookmarkStart w:id="0" w:name="_30j0zll" w:colFirst="0" w:colLast="0"/>
      <w:bookmarkEnd w:id="0"/>
      <w:r w:rsidRPr="007E167A">
        <w:rPr>
          <w:rFonts w:ascii="Calibri" w:eastAsia="Arial" w:hAnsi="Calibri" w:cs="Calibri"/>
          <w:sz w:val="21"/>
          <w:szCs w:val="21"/>
        </w:rPr>
        <w:t>and the IHS Clinical Support Center (Accredited Provider)</w:t>
      </w:r>
    </w:p>
    <w:p w14:paraId="603CFABD" w14:textId="77777777" w:rsidR="006B1BE3" w:rsidRPr="006B1BE3"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6B1BE3">
        <w:rPr>
          <w:rFonts w:ascii="Calibri" w:eastAsia="Arial" w:hAnsi="Calibri" w:cs="Calibri"/>
          <w:sz w:val="21"/>
          <w:szCs w:val="21"/>
        </w:rPr>
        <w:t>Present:</w:t>
      </w:r>
    </w:p>
    <w:p w14:paraId="680A76E2" w14:textId="43A35A7C" w:rsidR="003F1289" w:rsidRDefault="003F1289"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b/>
          <w:bCs/>
          <w:sz w:val="32"/>
          <w:szCs w:val="32"/>
        </w:rPr>
      </w:pPr>
      <w:r w:rsidRPr="003F1289">
        <w:rPr>
          <w:rFonts w:ascii="Calibri" w:eastAsia="Calibri" w:hAnsi="Calibri"/>
          <w:b/>
          <w:bCs/>
          <w:sz w:val="32"/>
          <w:szCs w:val="32"/>
        </w:rPr>
        <w:t xml:space="preserve">Ending the Syndemic </w:t>
      </w:r>
      <w:r w:rsidR="00B32EF2">
        <w:rPr>
          <w:rFonts w:ascii="Calibri" w:eastAsia="Calibri" w:hAnsi="Calibri"/>
          <w:b/>
          <w:bCs/>
          <w:sz w:val="32"/>
          <w:szCs w:val="32"/>
        </w:rPr>
        <w:t>Training</w:t>
      </w:r>
    </w:p>
    <w:p w14:paraId="0CE26355" w14:textId="41659FCD" w:rsidR="006B1BE3" w:rsidRPr="006B1BE3" w:rsidRDefault="00A37415"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cs="Calibri"/>
          <w:b/>
          <w:bCs/>
          <w:color w:val="000000"/>
          <w:kern w:val="28"/>
          <w:sz w:val="26"/>
          <w:szCs w:val="26"/>
          <w14:cntxtAlts/>
        </w:rPr>
      </w:pPr>
      <w:r>
        <w:rPr>
          <w:rFonts w:ascii="Calibri" w:eastAsia="Calibri" w:hAnsi="Calibri" w:cs="Calibri"/>
          <w:b/>
          <w:bCs/>
          <w:color w:val="000000"/>
          <w:kern w:val="28"/>
          <w:sz w:val="26"/>
          <w:szCs w:val="26"/>
          <w14:cntxtAlts/>
        </w:rPr>
        <w:t>August 11 &amp; 12</w:t>
      </w:r>
      <w:r w:rsidR="00B32EF2">
        <w:rPr>
          <w:rFonts w:ascii="Calibri" w:eastAsia="Calibri" w:hAnsi="Calibri" w:cs="Calibri"/>
          <w:b/>
          <w:bCs/>
          <w:color w:val="000000"/>
          <w:kern w:val="28"/>
          <w:sz w:val="26"/>
          <w:szCs w:val="26"/>
          <w14:cntxtAlts/>
        </w:rPr>
        <w:t xml:space="preserve">, </w:t>
      </w:r>
      <w:r w:rsidR="001704EB" w:rsidRPr="001704EB">
        <w:rPr>
          <w:rFonts w:ascii="Calibri" w:eastAsia="Calibri" w:hAnsi="Calibri" w:cs="Calibri"/>
          <w:b/>
          <w:bCs/>
          <w:color w:val="000000"/>
          <w:kern w:val="28"/>
          <w:sz w:val="26"/>
          <w:szCs w:val="26"/>
          <w14:cntxtAlts/>
        </w:rPr>
        <w:t>2026</w:t>
      </w:r>
      <w:r w:rsidR="00B07B49" w:rsidRPr="001704EB">
        <w:rPr>
          <w:rFonts w:ascii="Calibri" w:eastAsia="Calibri" w:hAnsi="Calibri" w:cs="Calibri"/>
          <w:b/>
          <w:bCs/>
          <w:color w:val="000000"/>
          <w:kern w:val="28"/>
          <w:sz w:val="26"/>
          <w:szCs w:val="26"/>
          <w14:cntxtAlts/>
        </w:rPr>
        <w:t xml:space="preserve">│ </w:t>
      </w:r>
      <w:r w:rsidR="001704EB" w:rsidRPr="001704EB">
        <w:rPr>
          <w:rFonts w:ascii="Calibri" w:eastAsia="Calibri" w:hAnsi="Calibri" w:cs="Calibri"/>
          <w:b/>
          <w:bCs/>
          <w:color w:val="000000"/>
          <w:kern w:val="28"/>
          <w:sz w:val="26"/>
          <w:szCs w:val="26"/>
          <w14:cntxtAlts/>
        </w:rPr>
        <w:t>8:00am</w:t>
      </w:r>
      <w:r w:rsidR="00F629C9">
        <w:rPr>
          <w:rFonts w:ascii="Calibri" w:eastAsia="Calibri" w:hAnsi="Calibri" w:cs="Calibri"/>
          <w:b/>
          <w:bCs/>
          <w:color w:val="000000"/>
          <w:kern w:val="28"/>
          <w:sz w:val="26"/>
          <w:szCs w:val="26"/>
          <w14:cntxtAlts/>
        </w:rPr>
        <w:t xml:space="preserve"> – </w:t>
      </w:r>
      <w:r w:rsidR="005F00F8">
        <w:rPr>
          <w:rFonts w:ascii="Calibri" w:eastAsia="Calibri" w:hAnsi="Calibri" w:cs="Calibri"/>
          <w:b/>
          <w:bCs/>
          <w:color w:val="000000"/>
          <w:kern w:val="28"/>
          <w:sz w:val="26"/>
          <w:szCs w:val="26"/>
          <w14:cntxtAlts/>
        </w:rPr>
        <w:t>5</w:t>
      </w:r>
      <w:r w:rsidR="00B32EF2">
        <w:rPr>
          <w:rFonts w:ascii="Calibri" w:eastAsia="Calibri" w:hAnsi="Calibri" w:cs="Calibri"/>
          <w:b/>
          <w:bCs/>
          <w:color w:val="000000"/>
          <w:kern w:val="28"/>
          <w:sz w:val="26"/>
          <w:szCs w:val="26"/>
          <w14:cntxtAlts/>
        </w:rPr>
        <w:t>:00</w:t>
      </w:r>
      <w:r w:rsidR="00F629C9">
        <w:rPr>
          <w:rFonts w:ascii="Calibri" w:eastAsia="Calibri" w:hAnsi="Calibri" w:cs="Calibri"/>
          <w:b/>
          <w:bCs/>
          <w:color w:val="000000"/>
          <w:kern w:val="28"/>
          <w:sz w:val="26"/>
          <w:szCs w:val="26"/>
          <w14:cntxtAlts/>
        </w:rPr>
        <w:t>pm</w:t>
      </w:r>
      <w:r w:rsidR="00B07B49" w:rsidRPr="001704EB">
        <w:rPr>
          <w:rFonts w:ascii="Calibri" w:eastAsia="Calibri" w:hAnsi="Calibri" w:cs="Calibri"/>
          <w:b/>
          <w:bCs/>
          <w:color w:val="000000"/>
          <w:kern w:val="28"/>
          <w:sz w:val="26"/>
          <w:szCs w:val="26"/>
          <w14:cntxtAlts/>
        </w:rPr>
        <w:t xml:space="preserve"> </w:t>
      </w:r>
      <w:r w:rsidR="00B32EF2">
        <w:rPr>
          <w:rFonts w:ascii="Calibri" w:eastAsia="Calibri" w:hAnsi="Calibri" w:cs="Calibri"/>
          <w:b/>
          <w:bCs/>
          <w:color w:val="000000"/>
          <w:kern w:val="28"/>
          <w:sz w:val="26"/>
          <w:szCs w:val="26"/>
          <w14:cntxtAlts/>
        </w:rPr>
        <w:t>P</w:t>
      </w:r>
      <w:r w:rsidR="001704EB" w:rsidRPr="001704EB">
        <w:rPr>
          <w:rFonts w:ascii="Calibri" w:eastAsia="Calibri" w:hAnsi="Calibri" w:cs="Calibri"/>
          <w:b/>
          <w:bCs/>
          <w:color w:val="000000"/>
          <w:kern w:val="28"/>
          <w:sz w:val="26"/>
          <w:szCs w:val="26"/>
          <w14:cntxtAlts/>
        </w:rPr>
        <w:t>T</w:t>
      </w:r>
    </w:p>
    <w:p w14:paraId="0A37501D" w14:textId="77777777" w:rsidR="006B1BE3" w:rsidRPr="006B1BE3" w:rsidRDefault="006B1BE3" w:rsidP="006B1BE3">
      <w:pPr>
        <w:shd w:val="clear" w:color="auto" w:fill="FFFFFF"/>
        <w:spacing w:after="0"/>
        <w:ind w:left="0" w:right="0"/>
        <w:rPr>
          <w:rFonts w:ascii="Calibri" w:eastAsia="Times New Roman" w:hAnsi="Calibri" w:cs="Calibri"/>
          <w:b/>
          <w:bCs/>
          <w:sz w:val="22"/>
          <w:szCs w:val="22"/>
        </w:rPr>
      </w:pPr>
    </w:p>
    <w:p w14:paraId="3DD8946E" w14:textId="64A311E5" w:rsidR="006B1BE3" w:rsidRPr="00C23A71" w:rsidRDefault="001704EB" w:rsidP="00D1185E">
      <w:pPr>
        <w:tabs>
          <w:tab w:val="left" w:pos="1440"/>
          <w:tab w:val="left" w:pos="1530"/>
          <w:tab w:val="left" w:pos="2160"/>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eastAsia="Times New Roman" w:cstheme="minorHAnsi"/>
          <w:b/>
          <w:sz w:val="21"/>
          <w:szCs w:val="21"/>
        </w:rPr>
      </w:pPr>
      <w:r w:rsidRPr="00C23A71">
        <w:rPr>
          <w:rFonts w:eastAsia="Times New Roman" w:cstheme="minorHAnsi"/>
          <w:b/>
          <w:sz w:val="21"/>
          <w:szCs w:val="21"/>
        </w:rPr>
        <w:t>Location</w:t>
      </w:r>
      <w:r w:rsidR="006B1BE3" w:rsidRPr="00C23A71">
        <w:rPr>
          <w:rFonts w:eastAsia="Times New Roman" w:cstheme="minorHAnsi"/>
          <w:b/>
          <w:sz w:val="21"/>
          <w:szCs w:val="21"/>
        </w:rPr>
        <w:t>:</w:t>
      </w:r>
      <w:r w:rsidR="007E167A" w:rsidRPr="00C23A71">
        <w:rPr>
          <w:rFonts w:eastAsia="Times New Roman" w:cstheme="minorHAnsi"/>
          <w:b/>
          <w:sz w:val="21"/>
          <w:szCs w:val="21"/>
        </w:rPr>
        <w:t xml:space="preserve"> </w:t>
      </w:r>
      <w:r w:rsidR="00A37415" w:rsidRPr="00C23A71">
        <w:rPr>
          <w:rFonts w:cstheme="minorHAnsi"/>
          <w:sz w:val="21"/>
          <w:szCs w:val="21"/>
        </w:rPr>
        <w:t>Fordson Hotel, 900 W Main St, Oklahoma City, OK 73106.</w:t>
      </w:r>
    </w:p>
    <w:p w14:paraId="5DAB6C7B" w14:textId="77777777" w:rsidR="00217085" w:rsidRPr="00C23A71" w:rsidRDefault="00217085" w:rsidP="00D11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eastAsia="Times New Roman" w:cstheme="minorHAnsi"/>
          <w:b/>
          <w:sz w:val="21"/>
          <w:szCs w:val="21"/>
        </w:rPr>
      </w:pPr>
    </w:p>
    <w:p w14:paraId="6B1E5EC5" w14:textId="77777777" w:rsidR="006B1BE3" w:rsidRPr="00C23A71" w:rsidRDefault="27B7538C" w:rsidP="00D11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eastAsia="Times New Roman" w:cstheme="minorHAnsi"/>
          <w:sz w:val="21"/>
          <w:szCs w:val="21"/>
        </w:rPr>
      </w:pPr>
      <w:r w:rsidRPr="00C23A71">
        <w:rPr>
          <w:rFonts w:eastAsia="Times New Roman" w:cstheme="minorHAnsi"/>
          <w:b/>
          <w:bCs/>
          <w:sz w:val="21"/>
          <w:szCs w:val="21"/>
        </w:rPr>
        <w:t>Target Audience</w:t>
      </w:r>
      <w:r w:rsidRPr="00C23A71">
        <w:rPr>
          <w:rFonts w:eastAsia="Times New Roman" w:cstheme="minorHAnsi"/>
          <w:sz w:val="21"/>
          <w:szCs w:val="21"/>
        </w:rPr>
        <w:t>:</w:t>
      </w:r>
    </w:p>
    <w:p w14:paraId="40C887FD" w14:textId="21C3E499" w:rsidR="00BA7D1F" w:rsidRPr="00C23A71" w:rsidRDefault="27B7538C" w:rsidP="00D11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eastAsia="Times New Roman" w:cstheme="minorHAnsi"/>
          <w:sz w:val="21"/>
          <w:szCs w:val="21"/>
        </w:rPr>
      </w:pPr>
      <w:r w:rsidRPr="00C23A71">
        <w:rPr>
          <w:rFonts w:eastAsia="Times New Roman" w:cstheme="minorHAnsi"/>
          <w:sz w:val="21"/>
          <w:szCs w:val="21"/>
        </w:rPr>
        <w:t>Primary care physicians, advanced practice providers, pharmacists, nurses, behavioral health specialists, healthcare administrators, tribal leaders, and other key stakeholders committed to improving the health and well-being of American Indian and Alaska Native (AI/AN) communities.</w:t>
      </w:r>
    </w:p>
    <w:p w14:paraId="6A05A809" w14:textId="77777777" w:rsidR="006B1BE3" w:rsidRPr="00C23A71" w:rsidRDefault="006B1BE3" w:rsidP="00595743">
      <w:pPr>
        <w:shd w:val="clear" w:color="auto" w:fill="FFFFFF"/>
        <w:spacing w:after="0"/>
        <w:ind w:left="0" w:right="0"/>
        <w:contextualSpacing/>
        <w:jc w:val="left"/>
        <w:rPr>
          <w:rFonts w:eastAsia="Times New Roman" w:cstheme="minorHAnsi"/>
          <w:sz w:val="21"/>
          <w:szCs w:val="21"/>
        </w:rPr>
      </w:pPr>
    </w:p>
    <w:p w14:paraId="2E25F60A" w14:textId="0B0760AE" w:rsidR="007E167A" w:rsidRPr="00C23A71" w:rsidRDefault="7048F3CF" w:rsidP="00D11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eastAsia="Times New Roman" w:cstheme="minorHAnsi"/>
          <w:sz w:val="21"/>
          <w:szCs w:val="21"/>
        </w:rPr>
      </w:pPr>
      <w:r w:rsidRPr="00C23A71">
        <w:rPr>
          <w:rFonts w:eastAsia="Times New Roman" w:cstheme="minorHAnsi"/>
          <w:b/>
          <w:bCs/>
          <w:sz w:val="21"/>
          <w:szCs w:val="21"/>
        </w:rPr>
        <w:t>Description</w:t>
      </w:r>
      <w:r w:rsidRPr="00C23A71">
        <w:rPr>
          <w:rFonts w:eastAsia="Times New Roman" w:cstheme="minorHAnsi"/>
          <w:sz w:val="21"/>
          <w:szCs w:val="21"/>
        </w:rPr>
        <w:t xml:space="preserve">: </w:t>
      </w:r>
    </w:p>
    <w:p w14:paraId="5901C8A0" w14:textId="5AC1F004" w:rsidR="003F1289" w:rsidRPr="00C23A71" w:rsidRDefault="00B32EF2" w:rsidP="00D11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rFonts w:cstheme="minorHAnsi"/>
          <w:sz w:val="21"/>
          <w:szCs w:val="21"/>
        </w:rPr>
      </w:pPr>
      <w:r w:rsidRPr="00C23A71">
        <w:rPr>
          <w:rFonts w:cstheme="minorHAnsi"/>
          <w:sz w:val="21"/>
          <w:szCs w:val="21"/>
        </w:rPr>
        <w:t>Healthcare professionals and staff serving American Indian and Alaska Native (AI/AN) communities are invited to participate in the Ending the Syndemic Training program. Developed in partnership with the S</w:t>
      </w:r>
      <w:r w:rsidR="00A37415" w:rsidRPr="00C23A71">
        <w:rPr>
          <w:rFonts w:cstheme="minorHAnsi"/>
          <w:sz w:val="21"/>
          <w:szCs w:val="21"/>
        </w:rPr>
        <w:t>outhern Plains Tribal Health Board</w:t>
      </w:r>
      <w:r w:rsidRPr="00C23A71">
        <w:rPr>
          <w:rFonts w:cstheme="minorHAnsi"/>
          <w:sz w:val="21"/>
          <w:szCs w:val="21"/>
        </w:rPr>
        <w:t>, this free 2</w:t>
      </w:r>
      <w:r w:rsidR="007466DB" w:rsidRPr="00C23A71">
        <w:rPr>
          <w:rFonts w:cstheme="minorHAnsi"/>
          <w:sz w:val="21"/>
          <w:szCs w:val="21"/>
        </w:rPr>
        <w:t>-</w:t>
      </w:r>
      <w:r w:rsidRPr="00C23A71">
        <w:rPr>
          <w:rFonts w:cstheme="minorHAnsi"/>
          <w:sz w:val="21"/>
          <w:szCs w:val="21"/>
        </w:rPr>
        <w:t xml:space="preserve">day training program provides practical tools, program design strategies, and </w:t>
      </w:r>
      <w:r w:rsidR="007466DB" w:rsidRPr="00C23A71">
        <w:rPr>
          <w:rFonts w:cstheme="minorHAnsi"/>
          <w:sz w:val="21"/>
          <w:szCs w:val="21"/>
        </w:rPr>
        <w:t>evidence-based</w:t>
      </w:r>
      <w:r w:rsidRPr="00C23A71">
        <w:rPr>
          <w:rFonts w:cstheme="minorHAnsi"/>
          <w:sz w:val="21"/>
          <w:szCs w:val="21"/>
        </w:rPr>
        <w:t xml:space="preserve"> approaches to address the interconnected syndemic of substance use disorders, viral hepatitis, HIV, and sexually transmitted infections. Participants may choose from clinical and community health professional tracks and will engage in stigma informed, harm reduction focused learning designed to support real world implementation in AI/AN health settings. The program also includes ongoing telehealth ECHO clinics that foster peer learning, mentorship, and continued professional development. </w:t>
      </w:r>
    </w:p>
    <w:p w14:paraId="71E49FE0" w14:textId="77777777" w:rsidR="00B32EF2" w:rsidRPr="00C23A71" w:rsidRDefault="00B32EF2" w:rsidP="00D11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rFonts w:eastAsia="Times New Roman" w:cstheme="minorHAnsi"/>
          <w:b/>
          <w:bCs/>
          <w:sz w:val="21"/>
          <w:szCs w:val="21"/>
        </w:rPr>
      </w:pPr>
    </w:p>
    <w:p w14:paraId="7A49382B" w14:textId="5C765459" w:rsidR="000D662A" w:rsidRPr="00C23A71" w:rsidRDefault="7048F3CF" w:rsidP="00D11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rFonts w:eastAsia="Times New Roman" w:cstheme="minorHAnsi"/>
          <w:sz w:val="21"/>
          <w:szCs w:val="21"/>
        </w:rPr>
      </w:pPr>
      <w:r w:rsidRPr="00C23A71">
        <w:rPr>
          <w:rFonts w:eastAsia="Times New Roman" w:cstheme="minorHAnsi"/>
          <w:b/>
          <w:bCs/>
          <w:sz w:val="21"/>
          <w:szCs w:val="21"/>
        </w:rPr>
        <w:t>Outcomes/Objectives</w:t>
      </w:r>
      <w:r w:rsidRPr="00C23A71">
        <w:rPr>
          <w:rFonts w:eastAsia="Times New Roman" w:cstheme="minorHAnsi"/>
          <w:sz w:val="21"/>
          <w:szCs w:val="21"/>
        </w:rPr>
        <w:t>:</w:t>
      </w:r>
    </w:p>
    <w:p w14:paraId="03D551B0" w14:textId="77777777" w:rsidR="001134CF" w:rsidRPr="00C23A71" w:rsidRDefault="001134CF" w:rsidP="00D1185E">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heme="minorHAnsi"/>
          <w:sz w:val="21"/>
          <w:szCs w:val="21"/>
        </w:rPr>
      </w:pPr>
      <w:r w:rsidRPr="00C23A71">
        <w:rPr>
          <w:rFonts w:asciiTheme="minorHAnsi" w:hAnsiTheme="minorHAnsi" w:cstheme="minorHAnsi"/>
          <w:sz w:val="21"/>
          <w:szCs w:val="21"/>
        </w:rPr>
        <w:t xml:space="preserve">Assess patients using a syndemic-informed approach that incorporates cultural, social, and structural determinants of health. </w:t>
      </w:r>
    </w:p>
    <w:p w14:paraId="35726E83" w14:textId="77777777" w:rsidR="001134CF" w:rsidRPr="00C23A71" w:rsidRDefault="001134CF" w:rsidP="001134CF">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heme="minorHAnsi"/>
          <w:sz w:val="21"/>
          <w:szCs w:val="21"/>
        </w:rPr>
      </w:pPr>
      <w:r w:rsidRPr="00C23A71">
        <w:rPr>
          <w:rFonts w:asciiTheme="minorHAnsi" w:hAnsiTheme="minorHAnsi" w:cstheme="minorHAnsi"/>
          <w:sz w:val="21"/>
          <w:szCs w:val="21"/>
        </w:rPr>
        <w:t xml:space="preserve">Integrate interdisciplinary strategies, including harm reduction, peer support, and evidence-based treatment, into team-based care delivery. </w:t>
      </w:r>
    </w:p>
    <w:p w14:paraId="59E305F8" w14:textId="77777777" w:rsidR="00C23A71" w:rsidRPr="00C23A71" w:rsidRDefault="001134CF" w:rsidP="00C23A71">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heme="minorHAnsi"/>
          <w:sz w:val="21"/>
          <w:szCs w:val="21"/>
        </w:rPr>
      </w:pPr>
      <w:r w:rsidRPr="00C23A71">
        <w:rPr>
          <w:rFonts w:asciiTheme="minorHAnsi" w:hAnsiTheme="minorHAnsi" w:cstheme="minorHAnsi"/>
          <w:sz w:val="21"/>
          <w:szCs w:val="21"/>
        </w:rPr>
        <w:t>Apply culturally responsive practices to coordinate prevention, diagnosis, and management of substance use disorders and infectious diseases across care settings.</w:t>
      </w:r>
    </w:p>
    <w:p w14:paraId="17366799" w14:textId="77777777" w:rsidR="00C23A71" w:rsidRPr="00C23A71" w:rsidRDefault="00C23A71" w:rsidP="00C2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jc w:val="both"/>
        <w:rPr>
          <w:rFonts w:eastAsia="Times New Roman" w:cstheme="minorHAnsi"/>
          <w:b/>
          <w:bCs/>
          <w:sz w:val="21"/>
          <w:szCs w:val="21"/>
        </w:rPr>
      </w:pPr>
    </w:p>
    <w:p w14:paraId="0D732F80" w14:textId="718F0818" w:rsidR="00595743" w:rsidRPr="00C23A71" w:rsidRDefault="00595743" w:rsidP="0098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contextualSpacing/>
        <w:jc w:val="both"/>
        <w:rPr>
          <w:rFonts w:eastAsia="Times New Roman" w:cstheme="minorHAnsi"/>
          <w:sz w:val="21"/>
          <w:szCs w:val="21"/>
        </w:rPr>
      </w:pPr>
      <w:r w:rsidRPr="00C23A71">
        <w:rPr>
          <w:rFonts w:eastAsia="Times New Roman" w:cstheme="minorHAnsi"/>
          <w:b/>
          <w:bCs/>
          <w:sz w:val="21"/>
          <w:szCs w:val="21"/>
        </w:rPr>
        <w:t>Presenters:</w:t>
      </w:r>
    </w:p>
    <w:p w14:paraId="31EA6390" w14:textId="77777777" w:rsidR="008B4010" w:rsidRPr="00C23A71" w:rsidRDefault="008B4010" w:rsidP="00981BAB">
      <w:pPr>
        <w:pStyle w:val="ListParagraph"/>
        <w:numPr>
          <w:ilvl w:val="0"/>
          <w:numId w:val="19"/>
        </w:numPr>
        <w:contextualSpacing/>
        <w:rPr>
          <w:rFonts w:asciiTheme="minorHAnsi" w:hAnsiTheme="minorHAnsi" w:cstheme="minorHAnsi"/>
          <w:bCs/>
          <w:sz w:val="21"/>
          <w:szCs w:val="21"/>
        </w:rPr>
      </w:pPr>
      <w:r w:rsidRPr="00C23A71">
        <w:rPr>
          <w:rFonts w:asciiTheme="minorHAnsi" w:hAnsiTheme="minorHAnsi" w:cstheme="minorHAnsi"/>
          <w:bCs/>
          <w:sz w:val="21"/>
          <w:szCs w:val="21"/>
        </w:rPr>
        <w:t>Erinn Williams, BS | Disease Investigation and Outbreak Manager, Oklahoma State Department of Health</w:t>
      </w:r>
    </w:p>
    <w:p w14:paraId="07FA4F34" w14:textId="77777777" w:rsidR="008B4010" w:rsidRPr="00C23A71" w:rsidRDefault="008B4010" w:rsidP="008B4010">
      <w:pPr>
        <w:pStyle w:val="ListParagraph"/>
        <w:numPr>
          <w:ilvl w:val="0"/>
          <w:numId w:val="19"/>
        </w:numPr>
        <w:spacing w:after="160" w:line="278" w:lineRule="auto"/>
        <w:contextualSpacing/>
        <w:rPr>
          <w:rFonts w:asciiTheme="minorHAnsi" w:hAnsiTheme="minorHAnsi" w:cstheme="minorHAnsi"/>
          <w:bCs/>
          <w:sz w:val="21"/>
          <w:szCs w:val="21"/>
        </w:rPr>
      </w:pPr>
      <w:r w:rsidRPr="00C23A71">
        <w:rPr>
          <w:rFonts w:asciiTheme="minorHAnsi" w:hAnsiTheme="minorHAnsi" w:cstheme="minorHAnsi"/>
          <w:bCs/>
          <w:sz w:val="21"/>
          <w:szCs w:val="21"/>
        </w:rPr>
        <w:t>Robbie Bright, MSHIM | Program Manager, Southern Plains Tribal Health Board</w:t>
      </w:r>
    </w:p>
    <w:p w14:paraId="28BD20BC" w14:textId="77777777" w:rsidR="008B4010" w:rsidRPr="00C23A71" w:rsidRDefault="008B4010" w:rsidP="008B4010">
      <w:pPr>
        <w:pStyle w:val="ListParagraph"/>
        <w:numPr>
          <w:ilvl w:val="0"/>
          <w:numId w:val="19"/>
        </w:numPr>
        <w:spacing w:after="160" w:line="278" w:lineRule="auto"/>
        <w:contextualSpacing/>
        <w:rPr>
          <w:rFonts w:asciiTheme="minorHAnsi" w:hAnsiTheme="minorHAnsi" w:cstheme="minorHAnsi"/>
          <w:bCs/>
          <w:color w:val="000000" w:themeColor="text1"/>
          <w:sz w:val="21"/>
          <w:szCs w:val="21"/>
        </w:rPr>
      </w:pPr>
      <w:r w:rsidRPr="00C23A71">
        <w:rPr>
          <w:rFonts w:asciiTheme="minorHAnsi" w:hAnsiTheme="minorHAnsi" w:cstheme="minorHAnsi"/>
          <w:bCs/>
          <w:color w:val="000000" w:themeColor="text1"/>
          <w:sz w:val="21"/>
          <w:szCs w:val="21"/>
        </w:rPr>
        <w:t>Jorge Mera, MD | ECHO Medical Director, NPAIHB</w:t>
      </w:r>
    </w:p>
    <w:p w14:paraId="7A9D9187" w14:textId="77777777" w:rsidR="008B4010" w:rsidRPr="00C23A71" w:rsidRDefault="008B4010" w:rsidP="008B4010">
      <w:pPr>
        <w:pStyle w:val="ListParagraph"/>
        <w:numPr>
          <w:ilvl w:val="0"/>
          <w:numId w:val="19"/>
        </w:numPr>
        <w:spacing w:after="160" w:line="278" w:lineRule="auto"/>
        <w:contextualSpacing/>
        <w:rPr>
          <w:rFonts w:asciiTheme="minorHAnsi" w:hAnsiTheme="minorHAnsi" w:cstheme="minorHAnsi"/>
          <w:bCs/>
          <w:color w:val="000000" w:themeColor="text1"/>
          <w:sz w:val="21"/>
          <w:szCs w:val="21"/>
        </w:rPr>
      </w:pPr>
      <w:r w:rsidRPr="00C23A71">
        <w:rPr>
          <w:rFonts w:asciiTheme="minorHAnsi" w:hAnsiTheme="minorHAnsi" w:cstheme="minorHAnsi"/>
          <w:bCs/>
          <w:color w:val="000000" w:themeColor="text1"/>
          <w:sz w:val="21"/>
          <w:szCs w:val="21"/>
        </w:rPr>
        <w:t>O’Nesha Cochran, BSW, AAS, PSS, CRM | Peer Specialist, NPAIHB</w:t>
      </w:r>
    </w:p>
    <w:p w14:paraId="09E4E1F4" w14:textId="77777777" w:rsidR="008B4010" w:rsidRPr="00C23A71" w:rsidRDefault="008B4010" w:rsidP="008B4010">
      <w:pPr>
        <w:pStyle w:val="ListParagraph"/>
        <w:numPr>
          <w:ilvl w:val="0"/>
          <w:numId w:val="19"/>
        </w:numPr>
        <w:spacing w:after="160" w:line="278" w:lineRule="auto"/>
        <w:contextualSpacing/>
        <w:rPr>
          <w:rFonts w:asciiTheme="minorHAnsi" w:hAnsiTheme="minorHAnsi" w:cstheme="minorHAnsi"/>
          <w:bCs/>
          <w:color w:val="000000" w:themeColor="text1"/>
          <w:sz w:val="21"/>
          <w:szCs w:val="21"/>
        </w:rPr>
      </w:pPr>
      <w:r w:rsidRPr="00C23A71">
        <w:rPr>
          <w:rFonts w:asciiTheme="minorHAnsi" w:hAnsiTheme="minorHAnsi" w:cstheme="minorHAnsi"/>
          <w:bCs/>
          <w:color w:val="000000" w:themeColor="text1"/>
          <w:sz w:val="21"/>
          <w:szCs w:val="21"/>
        </w:rPr>
        <w:t>Danica Brown, PhD | Consultant, White Crane Consultation, LLC</w:t>
      </w:r>
    </w:p>
    <w:p w14:paraId="2CBD1580" w14:textId="77777777" w:rsidR="008B4010" w:rsidRPr="00C23A71" w:rsidRDefault="008B4010" w:rsidP="008B4010">
      <w:pPr>
        <w:pStyle w:val="ListParagraph"/>
        <w:numPr>
          <w:ilvl w:val="0"/>
          <w:numId w:val="19"/>
        </w:numPr>
        <w:spacing w:after="160" w:line="278" w:lineRule="auto"/>
        <w:contextualSpacing/>
        <w:rPr>
          <w:rFonts w:asciiTheme="minorHAnsi" w:hAnsiTheme="minorHAnsi" w:cstheme="minorHAnsi"/>
          <w:bCs/>
          <w:color w:val="000000" w:themeColor="text1"/>
          <w:sz w:val="21"/>
          <w:szCs w:val="21"/>
        </w:rPr>
      </w:pPr>
      <w:r w:rsidRPr="00C23A71">
        <w:rPr>
          <w:rFonts w:asciiTheme="minorHAnsi" w:hAnsiTheme="minorHAnsi" w:cstheme="minorHAnsi"/>
          <w:bCs/>
          <w:color w:val="000000" w:themeColor="text1"/>
          <w:sz w:val="21"/>
          <w:szCs w:val="21"/>
        </w:rPr>
        <w:t>Jonathan Robbins, MD, MS | Associate Professor, Oregon Health &amp; Science University</w:t>
      </w:r>
    </w:p>
    <w:p w14:paraId="6CEE8A64" w14:textId="77777777" w:rsidR="008B4010" w:rsidRPr="00C23A71" w:rsidRDefault="008B4010" w:rsidP="008B4010">
      <w:pPr>
        <w:pStyle w:val="ListParagraph"/>
        <w:numPr>
          <w:ilvl w:val="0"/>
          <w:numId w:val="19"/>
        </w:numPr>
        <w:spacing w:after="160" w:line="278" w:lineRule="auto"/>
        <w:contextualSpacing/>
        <w:rPr>
          <w:rFonts w:asciiTheme="minorHAnsi" w:hAnsiTheme="minorHAnsi" w:cstheme="minorHAnsi"/>
          <w:bCs/>
          <w:sz w:val="21"/>
          <w:szCs w:val="21"/>
        </w:rPr>
      </w:pPr>
      <w:r w:rsidRPr="00C23A71">
        <w:rPr>
          <w:rFonts w:asciiTheme="minorHAnsi" w:hAnsiTheme="minorHAnsi" w:cstheme="minorHAnsi"/>
          <w:bCs/>
          <w:sz w:val="21"/>
          <w:szCs w:val="21"/>
        </w:rPr>
        <w:t>Amanda Reed, DO, FASAM, AOBFP | Clinical Director of Addiction Medicine, Muscogee Creek Nation Department of Health</w:t>
      </w:r>
    </w:p>
    <w:p w14:paraId="164015B1" w14:textId="77777777" w:rsidR="008B4010" w:rsidRPr="00C23A71" w:rsidRDefault="008B4010" w:rsidP="008B4010">
      <w:pPr>
        <w:pStyle w:val="ListParagraph"/>
        <w:numPr>
          <w:ilvl w:val="0"/>
          <w:numId w:val="19"/>
        </w:numPr>
        <w:spacing w:after="160" w:line="278" w:lineRule="auto"/>
        <w:contextualSpacing/>
        <w:rPr>
          <w:rFonts w:asciiTheme="minorHAnsi" w:hAnsiTheme="minorHAnsi" w:cstheme="minorHAnsi"/>
          <w:bCs/>
          <w:sz w:val="21"/>
          <w:szCs w:val="21"/>
        </w:rPr>
      </w:pPr>
      <w:r w:rsidRPr="00C23A71">
        <w:rPr>
          <w:rFonts w:asciiTheme="minorHAnsi" w:hAnsiTheme="minorHAnsi" w:cstheme="minorHAnsi"/>
          <w:bCs/>
          <w:sz w:val="21"/>
          <w:szCs w:val="21"/>
        </w:rPr>
        <w:t>Darien Chebahtah | Project Director, Cheyenne and Arapaho Tribes</w:t>
      </w:r>
    </w:p>
    <w:p w14:paraId="338CE86A" w14:textId="77777777" w:rsidR="008B4010" w:rsidRPr="00C23A71" w:rsidRDefault="008B4010" w:rsidP="008B4010">
      <w:pPr>
        <w:pStyle w:val="ListParagraph"/>
        <w:numPr>
          <w:ilvl w:val="0"/>
          <w:numId w:val="19"/>
        </w:numPr>
        <w:spacing w:after="160" w:line="278" w:lineRule="auto"/>
        <w:contextualSpacing/>
        <w:rPr>
          <w:rFonts w:asciiTheme="minorHAnsi" w:hAnsiTheme="minorHAnsi" w:cstheme="minorHAnsi"/>
          <w:bCs/>
          <w:color w:val="000000" w:themeColor="text1"/>
          <w:sz w:val="21"/>
          <w:szCs w:val="21"/>
        </w:rPr>
      </w:pPr>
      <w:r w:rsidRPr="00C23A71">
        <w:rPr>
          <w:rFonts w:asciiTheme="minorHAnsi" w:hAnsiTheme="minorHAnsi" w:cstheme="minorHAnsi"/>
          <w:bCs/>
          <w:color w:val="000000" w:themeColor="text1"/>
          <w:sz w:val="21"/>
          <w:szCs w:val="21"/>
        </w:rPr>
        <w:t>Whitney Dickson, PharmD | Clinical Pharmacist, Cass Lake IHS</w:t>
      </w:r>
    </w:p>
    <w:p w14:paraId="3FBCFE6E" w14:textId="77777777" w:rsidR="008B4010" w:rsidRPr="00C23A71" w:rsidRDefault="008B4010" w:rsidP="008B4010">
      <w:pPr>
        <w:pStyle w:val="ListParagraph"/>
        <w:numPr>
          <w:ilvl w:val="0"/>
          <w:numId w:val="19"/>
        </w:numPr>
        <w:spacing w:after="160" w:line="278" w:lineRule="auto"/>
        <w:contextualSpacing/>
        <w:rPr>
          <w:rFonts w:asciiTheme="minorHAnsi" w:hAnsiTheme="minorHAnsi" w:cstheme="minorHAnsi"/>
          <w:bCs/>
          <w:sz w:val="21"/>
          <w:szCs w:val="21"/>
        </w:rPr>
      </w:pPr>
      <w:r w:rsidRPr="00C23A71">
        <w:rPr>
          <w:rFonts w:asciiTheme="minorHAnsi" w:hAnsiTheme="minorHAnsi" w:cstheme="minorHAnsi"/>
          <w:bCs/>
          <w:sz w:val="21"/>
          <w:szCs w:val="21"/>
        </w:rPr>
        <w:t>Rebecca Geiger, PharmD, MHA, BCACP, AAHIVP | IHS OCA HIV/HCV/STI Coordinator, Haskell Indian Health Center</w:t>
      </w:r>
    </w:p>
    <w:p w14:paraId="50798638" w14:textId="77777777" w:rsidR="008B4010" w:rsidRPr="00C23A71" w:rsidRDefault="008B4010" w:rsidP="008B4010">
      <w:pPr>
        <w:pStyle w:val="ListParagraph"/>
        <w:numPr>
          <w:ilvl w:val="0"/>
          <w:numId w:val="19"/>
        </w:numPr>
        <w:spacing w:after="160" w:line="278" w:lineRule="auto"/>
        <w:contextualSpacing/>
        <w:rPr>
          <w:rFonts w:asciiTheme="minorHAnsi" w:hAnsiTheme="minorHAnsi" w:cstheme="minorHAnsi"/>
          <w:bCs/>
          <w:sz w:val="21"/>
          <w:szCs w:val="21"/>
        </w:rPr>
      </w:pPr>
      <w:r w:rsidRPr="00C23A71">
        <w:rPr>
          <w:rFonts w:asciiTheme="minorHAnsi" w:hAnsiTheme="minorHAnsi" w:cstheme="minorHAnsi"/>
          <w:bCs/>
          <w:sz w:val="21"/>
          <w:szCs w:val="21"/>
        </w:rPr>
        <w:t>Andrew Yu, MS, RN, ACRN | Public Health Advisor &amp; National HIV/HCV/STI Clinical Coordinator, IHS</w:t>
      </w:r>
    </w:p>
    <w:p w14:paraId="611EFE63" w14:textId="77777777" w:rsidR="008B4010" w:rsidRPr="00C23A71" w:rsidRDefault="008B4010" w:rsidP="008B4010">
      <w:pPr>
        <w:pStyle w:val="ListParagraph"/>
        <w:numPr>
          <w:ilvl w:val="0"/>
          <w:numId w:val="19"/>
        </w:numPr>
        <w:spacing w:after="160" w:line="278" w:lineRule="auto"/>
        <w:contextualSpacing/>
        <w:rPr>
          <w:rFonts w:asciiTheme="minorHAnsi" w:hAnsiTheme="minorHAnsi" w:cstheme="minorHAnsi"/>
          <w:bCs/>
          <w:color w:val="000000" w:themeColor="text1"/>
          <w:sz w:val="21"/>
          <w:szCs w:val="21"/>
        </w:rPr>
      </w:pPr>
      <w:r w:rsidRPr="00C23A71">
        <w:rPr>
          <w:rFonts w:asciiTheme="minorHAnsi" w:hAnsiTheme="minorHAnsi" w:cstheme="minorHAnsi"/>
          <w:bCs/>
          <w:color w:val="000000" w:themeColor="text1"/>
          <w:sz w:val="21"/>
          <w:szCs w:val="21"/>
        </w:rPr>
        <w:t>Bethany Johnson, PharmD, BCIDP | National HIV/HCV/STI Pharmacy Consultant, IHS</w:t>
      </w:r>
    </w:p>
    <w:p w14:paraId="7D121951" w14:textId="77777777" w:rsidR="008B4010" w:rsidRPr="00C23A71" w:rsidRDefault="008B4010" w:rsidP="008B4010">
      <w:pPr>
        <w:pStyle w:val="ListParagraph"/>
        <w:numPr>
          <w:ilvl w:val="0"/>
          <w:numId w:val="19"/>
        </w:numPr>
        <w:spacing w:after="160" w:line="278" w:lineRule="auto"/>
        <w:contextualSpacing/>
        <w:rPr>
          <w:rFonts w:asciiTheme="minorHAnsi" w:hAnsiTheme="minorHAnsi" w:cstheme="minorHAnsi"/>
          <w:bCs/>
          <w:sz w:val="21"/>
          <w:szCs w:val="21"/>
        </w:rPr>
      </w:pPr>
      <w:r w:rsidRPr="00C23A71">
        <w:rPr>
          <w:rFonts w:asciiTheme="minorHAnsi" w:hAnsiTheme="minorHAnsi" w:cstheme="minorHAnsi"/>
          <w:bCs/>
          <w:sz w:val="21"/>
          <w:szCs w:val="21"/>
        </w:rPr>
        <w:t>Lyndi Seabolt, PRSS | Program Coordinator, Southern Plains Tribal Health Board</w:t>
      </w:r>
    </w:p>
    <w:p w14:paraId="3A623435" w14:textId="77777777" w:rsidR="008B4010" w:rsidRPr="00C23A71" w:rsidRDefault="008B4010" w:rsidP="008B4010">
      <w:pPr>
        <w:pStyle w:val="ListParagraph"/>
        <w:numPr>
          <w:ilvl w:val="0"/>
          <w:numId w:val="19"/>
        </w:numPr>
        <w:spacing w:after="160" w:line="278" w:lineRule="auto"/>
        <w:contextualSpacing/>
        <w:rPr>
          <w:rFonts w:asciiTheme="minorHAnsi" w:hAnsiTheme="minorHAnsi" w:cstheme="minorHAnsi"/>
          <w:bCs/>
          <w:color w:val="000000" w:themeColor="text1"/>
          <w:sz w:val="21"/>
          <w:szCs w:val="21"/>
        </w:rPr>
      </w:pPr>
      <w:r w:rsidRPr="00C23A71">
        <w:rPr>
          <w:rFonts w:asciiTheme="minorHAnsi" w:hAnsiTheme="minorHAnsi" w:cstheme="minorHAnsi"/>
          <w:bCs/>
          <w:color w:val="000000" w:themeColor="text1"/>
          <w:sz w:val="21"/>
          <w:szCs w:val="21"/>
        </w:rPr>
        <w:t xml:space="preserve">Alessandra Angelino, MD, MPH | Physician, West Cambridge Pediatrics and Adolescent Medicine </w:t>
      </w:r>
    </w:p>
    <w:p w14:paraId="58FD5524" w14:textId="7CA2AB11" w:rsidR="008B4010" w:rsidRPr="00C23A71" w:rsidRDefault="008B4010" w:rsidP="00500961">
      <w:pPr>
        <w:pStyle w:val="ListParagraph"/>
        <w:numPr>
          <w:ilvl w:val="0"/>
          <w:numId w:val="19"/>
        </w:numPr>
        <w:spacing w:after="160" w:line="278" w:lineRule="auto"/>
        <w:contextualSpacing/>
        <w:rPr>
          <w:rFonts w:asciiTheme="minorHAnsi" w:hAnsiTheme="minorHAnsi" w:cstheme="minorHAnsi"/>
          <w:bCs/>
          <w:sz w:val="21"/>
          <w:szCs w:val="21"/>
        </w:rPr>
      </w:pPr>
      <w:r w:rsidRPr="00C23A71">
        <w:rPr>
          <w:rFonts w:asciiTheme="minorHAnsi" w:hAnsiTheme="minorHAnsi" w:cstheme="minorHAnsi"/>
          <w:bCs/>
          <w:sz w:val="21"/>
          <w:szCs w:val="21"/>
        </w:rPr>
        <w:t>Astha Kanani, MD | Associate Physician, University of California San Francisco</w:t>
      </w:r>
    </w:p>
    <w:p w14:paraId="3113ED7F" w14:textId="77777777" w:rsidR="00595743" w:rsidRPr="00C23A71" w:rsidRDefault="00595743" w:rsidP="00595743">
      <w:pPr>
        <w:shd w:val="clear" w:color="auto" w:fill="FFFFFF" w:themeFill="background1"/>
        <w:spacing w:after="0"/>
        <w:ind w:left="0"/>
        <w:jc w:val="both"/>
        <w:rPr>
          <w:rFonts w:eastAsia="Times New Roman" w:cstheme="minorHAnsi"/>
          <w:b/>
          <w:bCs/>
          <w:color w:val="212121"/>
          <w:sz w:val="21"/>
          <w:szCs w:val="21"/>
        </w:rPr>
      </w:pPr>
      <w:r w:rsidRPr="00C23A71">
        <w:rPr>
          <w:rFonts w:eastAsia="Times New Roman" w:cstheme="minorHAnsi"/>
          <w:b/>
          <w:bCs/>
          <w:color w:val="212121"/>
          <w:sz w:val="21"/>
          <w:szCs w:val="21"/>
        </w:rPr>
        <w:t>Planners:</w:t>
      </w:r>
    </w:p>
    <w:p w14:paraId="648AF641" w14:textId="77777777" w:rsidR="00595743" w:rsidRPr="00C23A71" w:rsidRDefault="00595743" w:rsidP="00C66CD7">
      <w:pPr>
        <w:pStyle w:val="ListParagraph"/>
        <w:numPr>
          <w:ilvl w:val="0"/>
          <w:numId w:val="7"/>
        </w:numPr>
        <w:shd w:val="clear" w:color="auto" w:fill="FFFFFF" w:themeFill="background1"/>
        <w:jc w:val="both"/>
        <w:rPr>
          <w:rStyle w:val="normaltextrun"/>
          <w:rFonts w:asciiTheme="minorHAnsi" w:eastAsia="Times New Roman" w:hAnsiTheme="minorHAnsi" w:cstheme="minorHAnsi"/>
          <w:sz w:val="21"/>
          <w:szCs w:val="21"/>
        </w:rPr>
      </w:pPr>
      <w:r w:rsidRPr="00C23A71">
        <w:rPr>
          <w:rStyle w:val="normaltextrun"/>
          <w:rFonts w:asciiTheme="minorHAnsi" w:eastAsia="Times New Roman" w:hAnsiTheme="minorHAnsi" w:cstheme="minorHAnsi"/>
          <w:sz w:val="21"/>
          <w:szCs w:val="21"/>
        </w:rPr>
        <w:t>Jorge Mera, MD | ECHO Medical Director, NPAIHB</w:t>
      </w:r>
    </w:p>
    <w:p w14:paraId="421602A4" w14:textId="77777777" w:rsidR="00595743" w:rsidRPr="00C23A71" w:rsidRDefault="00595743" w:rsidP="00C66CD7">
      <w:pPr>
        <w:pStyle w:val="ListParagraph"/>
        <w:numPr>
          <w:ilvl w:val="0"/>
          <w:numId w:val="7"/>
        </w:numPr>
        <w:shd w:val="clear" w:color="auto" w:fill="FFFFFF" w:themeFill="background1"/>
        <w:rPr>
          <w:rFonts w:asciiTheme="minorHAnsi" w:eastAsia="Times New Roman" w:hAnsiTheme="minorHAnsi" w:cstheme="minorHAnsi"/>
          <w:color w:val="212121"/>
          <w:sz w:val="21"/>
          <w:szCs w:val="21"/>
        </w:rPr>
      </w:pPr>
      <w:r w:rsidRPr="00C23A71">
        <w:rPr>
          <w:rFonts w:asciiTheme="minorHAnsi" w:eastAsia="Times New Roman" w:hAnsiTheme="minorHAnsi" w:cstheme="minorHAnsi"/>
          <w:color w:val="201F1E"/>
          <w:sz w:val="21"/>
          <w:szCs w:val="21"/>
        </w:rPr>
        <w:t>David Stephens, BSN, RN | ECHO Clinic Director, NPAIHB</w:t>
      </w:r>
    </w:p>
    <w:p w14:paraId="61701E0D" w14:textId="77777777" w:rsidR="00595743" w:rsidRPr="00C23A71" w:rsidRDefault="00595743" w:rsidP="00C66CD7">
      <w:pPr>
        <w:pStyle w:val="ListParagraph"/>
        <w:numPr>
          <w:ilvl w:val="0"/>
          <w:numId w:val="7"/>
        </w:numPr>
        <w:shd w:val="clear" w:color="auto" w:fill="FFFFFF" w:themeFill="background1"/>
        <w:rPr>
          <w:rFonts w:asciiTheme="minorHAnsi" w:eastAsia="Times New Roman" w:hAnsiTheme="minorHAnsi" w:cstheme="minorHAnsi"/>
          <w:sz w:val="21"/>
          <w:szCs w:val="21"/>
        </w:rPr>
      </w:pPr>
      <w:r w:rsidRPr="00C23A71">
        <w:rPr>
          <w:rFonts w:asciiTheme="minorHAnsi" w:eastAsia="Times New Roman" w:hAnsiTheme="minorHAnsi" w:cstheme="minorHAnsi"/>
          <w:sz w:val="21"/>
          <w:szCs w:val="21"/>
        </w:rPr>
        <w:t>Nicholas Cushman, PharmD | Clinical Program Coordinator, IHS</w:t>
      </w:r>
    </w:p>
    <w:p w14:paraId="3979BC72" w14:textId="59E992AB" w:rsidR="00595743" w:rsidRPr="00C23A71" w:rsidRDefault="00595743" w:rsidP="00500961">
      <w:pPr>
        <w:pStyle w:val="ListParagraph"/>
        <w:numPr>
          <w:ilvl w:val="0"/>
          <w:numId w:val="7"/>
        </w:numPr>
        <w:shd w:val="clear" w:color="auto" w:fill="FFFFFF" w:themeFill="background1"/>
        <w:rPr>
          <w:rFonts w:asciiTheme="minorHAnsi" w:eastAsia="Times New Roman" w:hAnsiTheme="minorHAnsi" w:cstheme="minorHAnsi"/>
          <w:sz w:val="21"/>
          <w:szCs w:val="21"/>
        </w:rPr>
      </w:pPr>
      <w:r w:rsidRPr="00C23A71">
        <w:rPr>
          <w:rFonts w:asciiTheme="minorHAnsi" w:eastAsia="Times New Roman" w:hAnsiTheme="minorHAnsi" w:cstheme="minorHAnsi"/>
          <w:sz w:val="21"/>
          <w:szCs w:val="21"/>
        </w:rPr>
        <w:t>Dolores Jimerson, LCSW, ADS, CPC | Behavioral Health Education Director, NPAIHB</w:t>
      </w:r>
    </w:p>
    <w:p w14:paraId="078C259E" w14:textId="77777777" w:rsidR="00981BAB" w:rsidRDefault="00981BAB" w:rsidP="00DA40CF">
      <w:pPr>
        <w:shd w:val="clear" w:color="auto" w:fill="FFFFFF" w:themeFill="background1"/>
        <w:spacing w:after="0"/>
        <w:ind w:left="0" w:right="0"/>
        <w:jc w:val="left"/>
        <w:rPr>
          <w:rFonts w:eastAsia="Times New Roman" w:cstheme="minorHAnsi"/>
          <w:b/>
          <w:bCs/>
          <w:sz w:val="21"/>
          <w:szCs w:val="21"/>
        </w:rPr>
      </w:pPr>
    </w:p>
    <w:p w14:paraId="0D5BF1BE" w14:textId="0C21CB97" w:rsidR="00DA40CF" w:rsidRPr="00C23A71" w:rsidRDefault="001704EB" w:rsidP="00DA40CF">
      <w:pPr>
        <w:shd w:val="clear" w:color="auto" w:fill="FFFFFF" w:themeFill="background1"/>
        <w:spacing w:after="0"/>
        <w:ind w:left="0" w:right="0"/>
        <w:jc w:val="left"/>
        <w:rPr>
          <w:rFonts w:eastAsia="Times New Roman" w:cstheme="minorHAnsi"/>
          <w:sz w:val="21"/>
          <w:szCs w:val="21"/>
        </w:rPr>
      </w:pPr>
      <w:r w:rsidRPr="00C23A71">
        <w:rPr>
          <w:rFonts w:eastAsia="Times New Roman" w:cstheme="minorHAnsi"/>
          <w:b/>
          <w:bCs/>
          <w:sz w:val="21"/>
          <w:szCs w:val="21"/>
        </w:rPr>
        <w:lastRenderedPageBreak/>
        <w:t>Disclaimer: </w:t>
      </w:r>
      <w:r w:rsidR="00DA40CF" w:rsidRPr="00C23A71">
        <w:rPr>
          <w:rFonts w:eastAsia="Times New Roman" w:cstheme="minorHAnsi"/>
          <w:sz w:val="21"/>
          <w:szCs w:val="21"/>
        </w:rPr>
        <w:t>Participants must attest to full attendance on both training days. Partial attendance is not eligible for CE credit.</w:t>
      </w:r>
    </w:p>
    <w:p w14:paraId="117AE663" w14:textId="77777777" w:rsidR="00E001D4" w:rsidRPr="00981BAB" w:rsidRDefault="00E001D4" w:rsidP="00D1185E">
      <w:pPr>
        <w:shd w:val="clear" w:color="auto" w:fill="FFFFFF"/>
        <w:spacing w:after="0"/>
        <w:ind w:left="0" w:right="0"/>
        <w:jc w:val="left"/>
        <w:rPr>
          <w:rFonts w:eastAsia="Times New Roman" w:cstheme="minorHAnsi"/>
          <w:b/>
          <w:bCs/>
          <w:sz w:val="12"/>
          <w:szCs w:val="12"/>
        </w:rPr>
      </w:pPr>
    </w:p>
    <w:p w14:paraId="7A3D1725" w14:textId="59BB347B" w:rsidR="006B1BE3" w:rsidRPr="00C23A71" w:rsidRDefault="006B1BE3" w:rsidP="00D1185E">
      <w:pPr>
        <w:shd w:val="clear" w:color="auto" w:fill="FFFFFF"/>
        <w:spacing w:after="0"/>
        <w:ind w:left="0" w:right="0"/>
        <w:jc w:val="left"/>
        <w:rPr>
          <w:rFonts w:eastAsia="Times New Roman" w:cstheme="minorHAnsi"/>
          <w:b/>
          <w:bCs/>
          <w:sz w:val="21"/>
          <w:szCs w:val="21"/>
        </w:rPr>
      </w:pPr>
      <w:r w:rsidRPr="00C23A71">
        <w:rPr>
          <w:rFonts w:eastAsia="Times New Roman" w:cstheme="minorHAnsi"/>
          <w:b/>
          <w:bCs/>
          <w:sz w:val="21"/>
          <w:szCs w:val="21"/>
        </w:rPr>
        <w:t>Instructions for Obtaining CE Credit:</w:t>
      </w:r>
    </w:p>
    <w:p w14:paraId="72A3D3EC" w14:textId="77A8E753" w:rsidR="002A764B" w:rsidRPr="00C23A71" w:rsidRDefault="006B1BE3" w:rsidP="00D1185E">
      <w:pPr>
        <w:shd w:val="clear" w:color="auto" w:fill="FFFFFF"/>
        <w:spacing w:after="0"/>
        <w:ind w:left="0" w:right="0"/>
        <w:jc w:val="left"/>
        <w:rPr>
          <w:rFonts w:eastAsia="Arial" w:cstheme="minorHAnsi"/>
          <w:color w:val="000000"/>
          <w:sz w:val="21"/>
          <w:szCs w:val="21"/>
        </w:rPr>
      </w:pPr>
      <w:r w:rsidRPr="00C23A71">
        <w:rPr>
          <w:rFonts w:eastAsia="Arial" w:cstheme="minorHAnsi"/>
          <w:color w:val="000000"/>
          <w:sz w:val="21"/>
          <w:szCs w:val="21"/>
        </w:rPr>
        <w:t xml:space="preserve">To obtain a certificate of continuing education (CE), you must attend the activity in its entirety, submit a completed evaluation, and electronically document your attendance. You will be able to </w:t>
      </w:r>
      <w:r w:rsidR="00DA40CF" w:rsidRPr="00C23A71">
        <w:rPr>
          <w:rFonts w:eastAsia="Arial" w:cstheme="minorHAnsi"/>
          <w:color w:val="000000"/>
          <w:sz w:val="21"/>
          <w:szCs w:val="21"/>
        </w:rPr>
        <w:t>save/</w:t>
      </w:r>
      <w:r w:rsidRPr="00C23A71">
        <w:rPr>
          <w:rFonts w:eastAsia="Arial" w:cstheme="minorHAnsi"/>
          <w:color w:val="000000"/>
          <w:sz w:val="21"/>
          <w:szCs w:val="21"/>
        </w:rPr>
        <w:t>print your certificate after completing the online evaluation. For questions, please contact the CE coordinator for further information.</w:t>
      </w:r>
    </w:p>
    <w:p w14:paraId="0D0B940D" w14:textId="77777777" w:rsidR="002B45E5" w:rsidRPr="00C23A71" w:rsidRDefault="002B45E5" w:rsidP="00D1185E">
      <w:pPr>
        <w:spacing w:after="0"/>
        <w:ind w:left="0" w:right="0"/>
        <w:jc w:val="left"/>
        <w:rPr>
          <w:rFonts w:eastAsia="Calibri" w:cstheme="minorHAnsi"/>
          <w:color w:val="000000"/>
          <w:sz w:val="21"/>
          <w:szCs w:val="21"/>
        </w:rPr>
      </w:pPr>
    </w:p>
    <w:p w14:paraId="069688BA" w14:textId="77777777" w:rsidR="006A6046" w:rsidRPr="00C23A71" w:rsidRDefault="006A6046" w:rsidP="00E001D4">
      <w:pPr>
        <w:autoSpaceDE w:val="0"/>
        <w:autoSpaceDN w:val="0"/>
        <w:adjustRightInd w:val="0"/>
        <w:spacing w:after="0"/>
        <w:ind w:left="0" w:right="0"/>
        <w:jc w:val="left"/>
        <w:rPr>
          <w:rFonts w:eastAsia="Calibri" w:cstheme="minorHAnsi"/>
          <w:b/>
          <w:color w:val="000000"/>
          <w:sz w:val="21"/>
          <w:szCs w:val="21"/>
        </w:rPr>
      </w:pPr>
      <w:r w:rsidRPr="00C23A71">
        <w:rPr>
          <w:rFonts w:eastAsia="Calibri" w:cstheme="minorHAnsi"/>
          <w:b/>
          <w:color w:val="000000"/>
          <w:sz w:val="21"/>
          <w:szCs w:val="21"/>
        </w:rPr>
        <w:t>ACCREDITATION</w:t>
      </w:r>
    </w:p>
    <w:p w14:paraId="0E27B00A" w14:textId="1EE8FC98" w:rsidR="006A6046" w:rsidRPr="00981BAB" w:rsidRDefault="006A6046" w:rsidP="00D1185E">
      <w:pPr>
        <w:widowControl w:val="0"/>
        <w:spacing w:after="0"/>
        <w:ind w:left="630" w:right="0" w:hanging="529"/>
        <w:jc w:val="left"/>
        <w:rPr>
          <w:rFonts w:eastAsia="Calibri" w:cstheme="minorHAnsi"/>
          <w:bCs/>
          <w:sz w:val="20"/>
          <w:szCs w:val="20"/>
        </w:rPr>
      </w:pPr>
      <w:r w:rsidRPr="00981BAB">
        <w:rPr>
          <w:rFonts w:eastAsia="Calibri" w:cstheme="minorHAnsi"/>
          <w:noProof/>
          <w:sz w:val="20"/>
          <w:szCs w:val="20"/>
        </w:rPr>
        <w:drawing>
          <wp:anchor distT="0" distB="0" distL="114300" distR="114300" simplePos="0" relativeHeight="251666432" behindDoc="0" locked="0" layoutInCell="1" allowOverlap="1" wp14:anchorId="12A1DCBC" wp14:editId="669DD151">
            <wp:simplePos x="0" y="0"/>
            <wp:positionH relativeFrom="margin">
              <wp:align>left</wp:align>
            </wp:positionH>
            <wp:positionV relativeFrom="paragraph">
              <wp:posOffset>12700</wp:posOffset>
            </wp:positionV>
            <wp:extent cx="1017270" cy="647700"/>
            <wp:effectExtent l="0" t="0" r="0" b="0"/>
            <wp:wrapSquare wrapText="bothSides"/>
            <wp:docPr id="9" name="Picture 9"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727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BAB">
        <w:rPr>
          <w:rFonts w:eastAsia="Calibri" w:cstheme="minorHAnsi"/>
          <w:bCs/>
          <w:sz w:val="20"/>
          <w:szCs w:val="20"/>
        </w:rPr>
        <w:t>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w:t>
      </w:r>
    </w:p>
    <w:p w14:paraId="718AC815" w14:textId="2A943849" w:rsidR="006D13AB" w:rsidRPr="00981BAB" w:rsidRDefault="006D13AB" w:rsidP="00981BAB">
      <w:pPr>
        <w:shd w:val="clear" w:color="auto" w:fill="FFFFFF"/>
        <w:spacing w:after="0"/>
        <w:ind w:right="0"/>
        <w:jc w:val="left"/>
        <w:rPr>
          <w:rFonts w:eastAsia="Times New Roman" w:cstheme="minorHAnsi"/>
          <w:b/>
          <w:bCs/>
          <w:color w:val="000000" w:themeColor="text1"/>
          <w:sz w:val="20"/>
          <w:szCs w:val="20"/>
        </w:rPr>
      </w:pPr>
    </w:p>
    <w:p w14:paraId="368FB942" w14:textId="4B9F50F6" w:rsidR="00981BAB" w:rsidRPr="00981BAB" w:rsidRDefault="00981BAB" w:rsidP="00D1185E">
      <w:pPr>
        <w:shd w:val="clear" w:color="auto" w:fill="FFFFFF"/>
        <w:spacing w:after="0"/>
        <w:ind w:left="630" w:right="0" w:hanging="529"/>
        <w:jc w:val="left"/>
        <w:rPr>
          <w:rFonts w:eastAsia="Times New Roman" w:cstheme="minorHAnsi"/>
          <w:bCs/>
          <w:color w:val="000000" w:themeColor="text1"/>
          <w:sz w:val="20"/>
          <w:szCs w:val="20"/>
        </w:rPr>
      </w:pPr>
      <w:r w:rsidRPr="00981BAB">
        <w:rPr>
          <w:rFonts w:eastAsia="Times New Roman" w:cstheme="minorHAnsi"/>
          <w:b/>
          <w:bCs/>
          <w:noProof/>
          <w:color w:val="1D1D1D"/>
          <w:sz w:val="20"/>
          <w:szCs w:val="20"/>
        </w:rPr>
        <w:drawing>
          <wp:anchor distT="0" distB="0" distL="114300" distR="114300" simplePos="0" relativeHeight="251671552" behindDoc="1" locked="0" layoutInCell="1" allowOverlap="1" wp14:anchorId="57649F1A" wp14:editId="3D6D8F86">
            <wp:simplePos x="0" y="0"/>
            <wp:positionH relativeFrom="margin">
              <wp:align>left</wp:align>
            </wp:positionH>
            <wp:positionV relativeFrom="paragraph">
              <wp:posOffset>6350</wp:posOffset>
            </wp:positionV>
            <wp:extent cx="1000125" cy="635635"/>
            <wp:effectExtent l="0" t="0" r="9525" b="0"/>
            <wp:wrapThrough wrapText="bothSides">
              <wp:wrapPolygon edited="0">
                <wp:start x="0" y="0"/>
                <wp:lineTo x="0" y="20715"/>
                <wp:lineTo x="21394" y="20715"/>
                <wp:lineTo x="21394" y="0"/>
                <wp:lineTo x="0" y="0"/>
              </wp:wrapPolygon>
            </wp:wrapThrough>
            <wp:docPr id="1" name="Picture 1" descr="IPCE Cred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CE Credit 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0012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938991" w14:textId="42C2F0DE" w:rsidR="006D13AB" w:rsidRPr="00981BAB" w:rsidRDefault="00981BAB" w:rsidP="00D1185E">
      <w:pPr>
        <w:shd w:val="clear" w:color="auto" w:fill="FFFFFF"/>
        <w:spacing w:after="0"/>
        <w:ind w:left="630" w:right="0" w:hanging="529"/>
        <w:jc w:val="left"/>
        <w:rPr>
          <w:rFonts w:eastAsia="Times New Roman" w:cstheme="minorHAnsi"/>
          <w:bCs/>
          <w:sz w:val="20"/>
          <w:szCs w:val="20"/>
        </w:rPr>
      </w:pPr>
      <w:r w:rsidRPr="00981BAB">
        <w:rPr>
          <w:rFonts w:eastAsia="Times New Roman" w:cstheme="minorHAnsi"/>
          <w:bCs/>
          <w:color w:val="000000" w:themeColor="text1"/>
          <w:sz w:val="20"/>
          <w:szCs w:val="20"/>
        </w:rPr>
        <w:t>T</w:t>
      </w:r>
      <w:r w:rsidR="006D13AB" w:rsidRPr="00981BAB">
        <w:rPr>
          <w:rFonts w:eastAsia="Times New Roman" w:cstheme="minorHAnsi"/>
          <w:bCs/>
          <w:color w:val="000000" w:themeColor="text1"/>
          <w:sz w:val="20"/>
          <w:szCs w:val="20"/>
        </w:rPr>
        <w:t xml:space="preserve">his activity was planned by and for the health care team, and learners will </w:t>
      </w:r>
      <w:r w:rsidR="006D13AB" w:rsidRPr="00981BAB">
        <w:rPr>
          <w:rFonts w:eastAsia="Times New Roman" w:cstheme="minorHAnsi"/>
          <w:bCs/>
          <w:sz w:val="20"/>
          <w:szCs w:val="20"/>
        </w:rPr>
        <w:t xml:space="preserve">receive </w:t>
      </w:r>
      <w:r w:rsidR="00DA40CF" w:rsidRPr="00981BAB">
        <w:rPr>
          <w:rFonts w:eastAsia="Times New Roman" w:cstheme="minorHAnsi"/>
          <w:bCs/>
          <w:sz w:val="20"/>
          <w:szCs w:val="20"/>
        </w:rPr>
        <w:t>1</w:t>
      </w:r>
      <w:r w:rsidR="00A37415" w:rsidRPr="00981BAB">
        <w:rPr>
          <w:rFonts w:eastAsia="Times New Roman" w:cstheme="minorHAnsi"/>
          <w:bCs/>
          <w:sz w:val="20"/>
          <w:szCs w:val="20"/>
        </w:rPr>
        <w:t>3</w:t>
      </w:r>
      <w:r w:rsidR="00DA40CF" w:rsidRPr="00981BAB">
        <w:rPr>
          <w:rFonts w:eastAsia="Times New Roman" w:cstheme="minorHAnsi"/>
          <w:bCs/>
          <w:sz w:val="20"/>
          <w:szCs w:val="20"/>
        </w:rPr>
        <w:t>.</w:t>
      </w:r>
      <w:r w:rsidR="00A37415" w:rsidRPr="00981BAB">
        <w:rPr>
          <w:rFonts w:eastAsia="Times New Roman" w:cstheme="minorHAnsi"/>
          <w:bCs/>
          <w:sz w:val="20"/>
          <w:szCs w:val="20"/>
        </w:rPr>
        <w:t>25</w:t>
      </w:r>
      <w:r w:rsidR="006D13AB" w:rsidRPr="00981BAB">
        <w:rPr>
          <w:rFonts w:eastAsia="Times New Roman" w:cstheme="minorHAnsi"/>
          <w:bCs/>
          <w:sz w:val="20"/>
          <w:szCs w:val="20"/>
        </w:rPr>
        <w:t xml:space="preserve"> Interprofessional Continuing Education (IPCE) credit</w:t>
      </w:r>
      <w:r w:rsidR="00722B49" w:rsidRPr="00981BAB">
        <w:rPr>
          <w:rFonts w:eastAsia="Times New Roman" w:cstheme="minorHAnsi"/>
          <w:bCs/>
          <w:sz w:val="20"/>
          <w:szCs w:val="20"/>
        </w:rPr>
        <w:t>s</w:t>
      </w:r>
      <w:r w:rsidR="006D13AB" w:rsidRPr="00981BAB">
        <w:rPr>
          <w:rFonts w:eastAsia="Times New Roman" w:cstheme="minorHAnsi"/>
          <w:bCs/>
          <w:sz w:val="20"/>
          <w:szCs w:val="20"/>
        </w:rPr>
        <w:t xml:space="preserve"> for learning and change.</w:t>
      </w:r>
    </w:p>
    <w:p w14:paraId="5D102E56" w14:textId="77777777" w:rsidR="006E2421" w:rsidRPr="00981BAB" w:rsidRDefault="006E2421" w:rsidP="00D1185E">
      <w:pPr>
        <w:shd w:val="clear" w:color="auto" w:fill="FFFFFF"/>
        <w:spacing w:after="0"/>
        <w:ind w:left="0" w:right="0"/>
        <w:jc w:val="left"/>
        <w:rPr>
          <w:rFonts w:eastAsia="Times New Roman" w:cstheme="minorHAnsi"/>
          <w:b/>
          <w:bCs/>
          <w:sz w:val="20"/>
          <w:szCs w:val="20"/>
        </w:rPr>
      </w:pPr>
    </w:p>
    <w:p w14:paraId="2870C676" w14:textId="77777777" w:rsidR="00981BAB" w:rsidRPr="00981BAB" w:rsidRDefault="00981BAB" w:rsidP="00D1185E">
      <w:pPr>
        <w:shd w:val="clear" w:color="auto" w:fill="FFFFFF"/>
        <w:spacing w:after="0"/>
        <w:ind w:left="630" w:right="0" w:hanging="529"/>
        <w:jc w:val="left"/>
        <w:rPr>
          <w:rFonts w:eastAsia="Times New Roman" w:cstheme="minorHAnsi"/>
          <w:b/>
          <w:bCs/>
          <w:sz w:val="20"/>
          <w:szCs w:val="20"/>
        </w:rPr>
      </w:pPr>
    </w:p>
    <w:p w14:paraId="20CE9E3E" w14:textId="2F27E45E" w:rsidR="006B1BE3" w:rsidRPr="00981BAB" w:rsidRDefault="006B1BE3" w:rsidP="00D1185E">
      <w:pPr>
        <w:shd w:val="clear" w:color="auto" w:fill="FFFFFF"/>
        <w:spacing w:after="0"/>
        <w:ind w:left="630" w:right="0" w:hanging="529"/>
        <w:jc w:val="left"/>
        <w:rPr>
          <w:rFonts w:eastAsia="Times New Roman" w:cstheme="minorHAnsi"/>
          <w:bCs/>
          <w:sz w:val="20"/>
          <w:szCs w:val="20"/>
        </w:rPr>
      </w:pPr>
      <w:r w:rsidRPr="00981BAB">
        <w:rPr>
          <w:rFonts w:eastAsia="Times New Roman" w:cstheme="minorHAnsi"/>
          <w:b/>
          <w:bCs/>
          <w:sz w:val="20"/>
          <w:szCs w:val="20"/>
        </w:rPr>
        <w:t>Physicians</w:t>
      </w:r>
    </w:p>
    <w:p w14:paraId="70971D05" w14:textId="7ADAD0FD" w:rsidR="003B5A81" w:rsidRPr="00981BAB" w:rsidRDefault="00AE01DA" w:rsidP="3D999C51">
      <w:pPr>
        <w:shd w:val="clear" w:color="auto" w:fill="FFFFFF" w:themeFill="background1"/>
        <w:spacing w:after="0"/>
        <w:ind w:left="90" w:right="0" w:firstLine="11"/>
        <w:jc w:val="left"/>
        <w:rPr>
          <w:rFonts w:eastAsia="Times New Roman" w:cstheme="minorHAnsi"/>
          <w:sz w:val="20"/>
          <w:szCs w:val="20"/>
        </w:rPr>
      </w:pPr>
      <w:r w:rsidRPr="00981BAB">
        <w:rPr>
          <w:rFonts w:eastAsia="Times New Roman" w:cstheme="minorHAnsi"/>
          <w:sz w:val="20"/>
          <w:szCs w:val="20"/>
        </w:rPr>
        <w:t>The IHS Clinical Support Center designates this live activity for a maximum of</w:t>
      </w:r>
      <w:r w:rsidR="00DA40CF" w:rsidRPr="00981BAB">
        <w:rPr>
          <w:rFonts w:eastAsia="Times New Roman" w:cstheme="minorHAnsi"/>
          <w:sz w:val="20"/>
          <w:szCs w:val="20"/>
        </w:rPr>
        <w:t xml:space="preserve"> 1</w:t>
      </w:r>
      <w:r w:rsidR="00A37415" w:rsidRPr="00981BAB">
        <w:rPr>
          <w:rFonts w:eastAsia="Times New Roman" w:cstheme="minorHAnsi"/>
          <w:sz w:val="20"/>
          <w:szCs w:val="20"/>
        </w:rPr>
        <w:t>3</w:t>
      </w:r>
      <w:r w:rsidR="00267B34" w:rsidRPr="00981BAB">
        <w:rPr>
          <w:rFonts w:eastAsia="Times New Roman" w:cstheme="minorHAnsi"/>
          <w:sz w:val="20"/>
          <w:szCs w:val="20"/>
        </w:rPr>
        <w:t xml:space="preserve">¼ </w:t>
      </w:r>
      <w:r w:rsidRPr="00981BAB">
        <w:rPr>
          <w:rFonts w:eastAsia="Times New Roman" w:cstheme="minorHAnsi"/>
          <w:i/>
          <w:iCs/>
          <w:sz w:val="20"/>
          <w:szCs w:val="20"/>
        </w:rPr>
        <w:t>AMA PRA Category 1 Credits™</w:t>
      </w:r>
      <w:r w:rsidRPr="00981BAB">
        <w:rPr>
          <w:rFonts w:eastAsia="Times New Roman" w:cstheme="minorHAnsi"/>
          <w:sz w:val="20"/>
          <w:szCs w:val="20"/>
        </w:rPr>
        <w:t>.  Physicians should claim only the credit commensurate with the extent of their participation in the activity</w:t>
      </w:r>
      <w:r w:rsidR="003B5A81" w:rsidRPr="00981BAB">
        <w:rPr>
          <w:rFonts w:eastAsia="Times New Roman" w:cstheme="minorHAnsi"/>
          <w:sz w:val="20"/>
          <w:szCs w:val="20"/>
        </w:rPr>
        <w:t>.</w:t>
      </w:r>
    </w:p>
    <w:p w14:paraId="4B94D5A5" w14:textId="77777777" w:rsidR="006B1BE3" w:rsidRPr="004D5ED4" w:rsidRDefault="006B1BE3" w:rsidP="00D1185E">
      <w:pPr>
        <w:shd w:val="clear" w:color="auto" w:fill="FFFFFF"/>
        <w:spacing w:after="0"/>
        <w:ind w:left="630" w:right="0" w:hanging="529"/>
        <w:jc w:val="left"/>
        <w:rPr>
          <w:rFonts w:eastAsia="Times New Roman" w:cstheme="minorHAnsi"/>
          <w:b/>
          <w:bCs/>
          <w:sz w:val="14"/>
          <w:szCs w:val="14"/>
        </w:rPr>
      </w:pPr>
    </w:p>
    <w:p w14:paraId="48DBDB7F" w14:textId="77777777" w:rsidR="006A6046" w:rsidRPr="00981BAB" w:rsidRDefault="006A6046" w:rsidP="00D1185E">
      <w:pPr>
        <w:shd w:val="clear" w:color="auto" w:fill="FFFFFF"/>
        <w:spacing w:after="0"/>
        <w:ind w:left="630" w:right="0" w:hanging="529"/>
        <w:jc w:val="left"/>
        <w:rPr>
          <w:rFonts w:eastAsia="Times New Roman" w:cstheme="minorHAnsi"/>
          <w:sz w:val="20"/>
          <w:szCs w:val="20"/>
        </w:rPr>
      </w:pPr>
      <w:r w:rsidRPr="00981BAB">
        <w:rPr>
          <w:rFonts w:eastAsia="Times New Roman" w:cstheme="minorHAnsi"/>
          <w:b/>
          <w:bCs/>
          <w:sz w:val="20"/>
          <w:szCs w:val="20"/>
        </w:rPr>
        <w:t>Nurses</w:t>
      </w:r>
    </w:p>
    <w:p w14:paraId="29D58DAB" w14:textId="5803F727" w:rsidR="006A6046" w:rsidRPr="00981BAB" w:rsidRDefault="006A6046" w:rsidP="3D999C51">
      <w:pPr>
        <w:shd w:val="clear" w:color="auto" w:fill="FFFFFF" w:themeFill="background1"/>
        <w:spacing w:after="0"/>
        <w:ind w:left="630" w:right="0" w:hanging="529"/>
        <w:jc w:val="left"/>
        <w:rPr>
          <w:rFonts w:eastAsia="Times New Roman" w:cstheme="minorHAnsi"/>
          <w:sz w:val="20"/>
          <w:szCs w:val="20"/>
        </w:rPr>
      </w:pPr>
      <w:r w:rsidRPr="00981BAB">
        <w:rPr>
          <w:rFonts w:eastAsia="Times New Roman" w:cstheme="minorHAnsi"/>
          <w:sz w:val="20"/>
          <w:szCs w:val="20"/>
        </w:rPr>
        <w:t>This activity is designated</w:t>
      </w:r>
      <w:r w:rsidR="00AE01DA" w:rsidRPr="00981BAB">
        <w:rPr>
          <w:rFonts w:eastAsia="Times New Roman" w:cstheme="minorHAnsi"/>
          <w:sz w:val="20"/>
          <w:szCs w:val="20"/>
        </w:rPr>
        <w:t xml:space="preserve"> up to </w:t>
      </w:r>
      <w:r w:rsidR="00DA40CF" w:rsidRPr="00981BAB">
        <w:rPr>
          <w:rFonts w:eastAsia="Times New Roman" w:cstheme="minorHAnsi"/>
          <w:sz w:val="20"/>
          <w:szCs w:val="20"/>
        </w:rPr>
        <w:t>1</w:t>
      </w:r>
      <w:r w:rsidR="00A37415" w:rsidRPr="00981BAB">
        <w:rPr>
          <w:rFonts w:eastAsia="Times New Roman" w:cstheme="minorHAnsi"/>
          <w:sz w:val="20"/>
          <w:szCs w:val="20"/>
        </w:rPr>
        <w:t>3</w:t>
      </w:r>
      <w:r w:rsidR="00DA40CF" w:rsidRPr="00981BAB">
        <w:rPr>
          <w:rFonts w:eastAsia="Times New Roman" w:cstheme="minorHAnsi"/>
          <w:sz w:val="20"/>
          <w:szCs w:val="20"/>
        </w:rPr>
        <w:t>.</w:t>
      </w:r>
      <w:r w:rsidR="00A37415" w:rsidRPr="00981BAB">
        <w:rPr>
          <w:rFonts w:eastAsia="Times New Roman" w:cstheme="minorHAnsi"/>
          <w:sz w:val="20"/>
          <w:szCs w:val="20"/>
        </w:rPr>
        <w:t>25</w:t>
      </w:r>
      <w:r w:rsidRPr="00981BAB">
        <w:rPr>
          <w:rFonts w:eastAsia="Times New Roman" w:cstheme="minorHAnsi"/>
          <w:sz w:val="20"/>
          <w:szCs w:val="20"/>
        </w:rPr>
        <w:t xml:space="preserve"> contact hour</w:t>
      </w:r>
      <w:r w:rsidR="00722B49" w:rsidRPr="00981BAB">
        <w:rPr>
          <w:rFonts w:eastAsia="Times New Roman" w:cstheme="minorHAnsi"/>
          <w:sz w:val="20"/>
          <w:szCs w:val="20"/>
        </w:rPr>
        <w:t>s for nurses</w:t>
      </w:r>
      <w:r w:rsidRPr="00981BAB">
        <w:rPr>
          <w:rFonts w:eastAsia="Times New Roman" w:cstheme="minorHAnsi"/>
          <w:sz w:val="20"/>
          <w:szCs w:val="20"/>
        </w:rPr>
        <w:t>.</w:t>
      </w:r>
    </w:p>
    <w:p w14:paraId="3DEEC669" w14:textId="77777777" w:rsidR="00BC12C0" w:rsidRPr="004D5ED4" w:rsidRDefault="00BC12C0" w:rsidP="00D1185E">
      <w:pPr>
        <w:shd w:val="clear" w:color="auto" w:fill="FFFFFF"/>
        <w:spacing w:after="0"/>
        <w:ind w:left="630" w:right="0" w:hanging="529"/>
        <w:jc w:val="left"/>
        <w:rPr>
          <w:rFonts w:eastAsia="Times New Roman" w:cstheme="minorHAnsi"/>
          <w:sz w:val="14"/>
          <w:szCs w:val="14"/>
        </w:rPr>
      </w:pPr>
    </w:p>
    <w:p w14:paraId="20C94E0F" w14:textId="77777777" w:rsidR="00BC12C0" w:rsidRPr="00981BAB" w:rsidRDefault="00BC12C0" w:rsidP="00D1185E">
      <w:pPr>
        <w:widowControl w:val="0"/>
        <w:autoSpaceDE w:val="0"/>
        <w:autoSpaceDN w:val="0"/>
        <w:spacing w:after="0"/>
        <w:ind w:right="0"/>
        <w:jc w:val="left"/>
        <w:rPr>
          <w:rFonts w:eastAsia="Calibri" w:cstheme="minorHAnsi"/>
          <w:b/>
          <w:sz w:val="20"/>
          <w:szCs w:val="20"/>
          <w:lang w:bidi="en-US"/>
        </w:rPr>
      </w:pPr>
      <w:r w:rsidRPr="00981BAB">
        <w:rPr>
          <w:rFonts w:eastAsia="Calibri" w:cstheme="minorHAnsi"/>
          <w:b/>
          <w:sz w:val="20"/>
          <w:szCs w:val="20"/>
          <w:lang w:bidi="en-US"/>
        </w:rPr>
        <w:t>Pharmacists</w:t>
      </w:r>
    </w:p>
    <w:p w14:paraId="1D6F5F5C" w14:textId="452C6202" w:rsidR="007A3421" w:rsidRPr="00981BAB" w:rsidRDefault="007A3421" w:rsidP="00267B34">
      <w:pPr>
        <w:shd w:val="clear" w:color="auto" w:fill="FFFFFF" w:themeFill="background1"/>
        <w:spacing w:after="0"/>
        <w:ind w:left="90" w:right="0" w:firstLine="11"/>
        <w:jc w:val="left"/>
        <w:rPr>
          <w:rFonts w:eastAsia="Calibri" w:cstheme="minorHAnsi"/>
          <w:sz w:val="20"/>
          <w:szCs w:val="20"/>
          <w:lang w:bidi="en-US"/>
        </w:rPr>
      </w:pPr>
      <w:r w:rsidRPr="00981BAB">
        <w:rPr>
          <w:rFonts w:eastAsia="Calibri" w:cstheme="minorHAnsi"/>
          <w:sz w:val="20"/>
          <w:szCs w:val="20"/>
          <w:lang w:bidi="en-US"/>
        </w:rPr>
        <w:t xml:space="preserve">This activity provides </w:t>
      </w:r>
      <w:r w:rsidR="00DA40CF" w:rsidRPr="00981BAB">
        <w:rPr>
          <w:rFonts w:eastAsia="Calibri" w:cstheme="minorHAnsi"/>
          <w:sz w:val="20"/>
          <w:szCs w:val="20"/>
          <w:lang w:bidi="en-US"/>
        </w:rPr>
        <w:t>1</w:t>
      </w:r>
      <w:r w:rsidR="00A37415" w:rsidRPr="00981BAB">
        <w:rPr>
          <w:rFonts w:eastAsia="Calibri" w:cstheme="minorHAnsi"/>
          <w:sz w:val="20"/>
          <w:szCs w:val="20"/>
          <w:lang w:bidi="en-US"/>
        </w:rPr>
        <w:t>3</w:t>
      </w:r>
      <w:r w:rsidR="00DA40CF" w:rsidRPr="00981BAB">
        <w:rPr>
          <w:rFonts w:eastAsia="Calibri" w:cstheme="minorHAnsi"/>
          <w:sz w:val="20"/>
          <w:szCs w:val="20"/>
          <w:lang w:bidi="en-US"/>
        </w:rPr>
        <w:t>.</w:t>
      </w:r>
      <w:r w:rsidR="00A37415" w:rsidRPr="00981BAB">
        <w:rPr>
          <w:rFonts w:eastAsia="Calibri" w:cstheme="minorHAnsi"/>
          <w:sz w:val="20"/>
          <w:szCs w:val="20"/>
          <w:lang w:bidi="en-US"/>
        </w:rPr>
        <w:t>25</w:t>
      </w:r>
      <w:r w:rsidRPr="00981BAB">
        <w:rPr>
          <w:rFonts w:eastAsia="Calibri" w:cstheme="minorHAnsi"/>
          <w:sz w:val="20"/>
          <w:szCs w:val="20"/>
          <w:lang w:bidi="en-US"/>
        </w:rPr>
        <w:t xml:space="preserve"> hour</w:t>
      </w:r>
      <w:r w:rsidR="00DD43F8" w:rsidRPr="00981BAB">
        <w:rPr>
          <w:rFonts w:eastAsia="Calibri" w:cstheme="minorHAnsi"/>
          <w:sz w:val="20"/>
          <w:szCs w:val="20"/>
          <w:lang w:bidi="en-US"/>
        </w:rPr>
        <w:t>s</w:t>
      </w:r>
      <w:r w:rsidRPr="00981BAB">
        <w:rPr>
          <w:rFonts w:eastAsia="Calibri" w:cstheme="minorHAnsi"/>
          <w:sz w:val="20"/>
          <w:szCs w:val="20"/>
          <w:lang w:bidi="en-US"/>
        </w:rPr>
        <w:t xml:space="preserve"> of knowledge-based continuing pharmacy education credit (CPE) with the </w:t>
      </w:r>
      <w:r w:rsidR="00064CE5" w:rsidRPr="00981BAB">
        <w:rPr>
          <w:rFonts w:eastAsia="Calibri" w:cstheme="minorHAnsi"/>
          <w:sz w:val="20"/>
          <w:szCs w:val="20"/>
          <w:lang w:bidi="en-US"/>
        </w:rPr>
        <w:t>UAN</w:t>
      </w:r>
      <w:r w:rsidR="00267B34" w:rsidRPr="00981BAB">
        <w:rPr>
          <w:rFonts w:eastAsia="Calibri" w:cstheme="minorHAnsi"/>
          <w:sz w:val="20"/>
          <w:szCs w:val="20"/>
          <w:lang w:bidi="en-US"/>
        </w:rPr>
        <w:t xml:space="preserve"> JA4008177-0000-26-076-L01-P.</w:t>
      </w:r>
    </w:p>
    <w:p w14:paraId="3656B9AB" w14:textId="77777777" w:rsidR="007A3421" w:rsidRPr="004D5ED4" w:rsidRDefault="007A3421" w:rsidP="00D1185E">
      <w:pPr>
        <w:shd w:val="clear" w:color="auto" w:fill="FFFFFF"/>
        <w:spacing w:after="0"/>
        <w:ind w:left="630" w:right="0" w:hanging="529"/>
        <w:jc w:val="left"/>
        <w:rPr>
          <w:rFonts w:eastAsia="Calibri" w:cstheme="minorHAnsi"/>
          <w:sz w:val="14"/>
          <w:szCs w:val="14"/>
          <w:lang w:bidi="en-US"/>
        </w:rPr>
      </w:pPr>
    </w:p>
    <w:p w14:paraId="40F2A0E3" w14:textId="7F00BBA1" w:rsidR="006E2421" w:rsidRPr="00981BAB" w:rsidRDefault="007A3421" w:rsidP="3D999C51">
      <w:pPr>
        <w:shd w:val="clear" w:color="auto" w:fill="FFFFFF" w:themeFill="background1"/>
        <w:spacing w:after="0"/>
        <w:ind w:right="0"/>
        <w:jc w:val="left"/>
        <w:rPr>
          <w:rFonts w:eastAsia="Calibri" w:cstheme="minorHAnsi"/>
          <w:sz w:val="20"/>
          <w:szCs w:val="20"/>
          <w:lang w:bidi="en-US"/>
        </w:rPr>
      </w:pPr>
      <w:r w:rsidRPr="00981BAB">
        <w:rPr>
          <w:rFonts w:eastAsia="Calibri" w:cstheme="minorHAnsi"/>
          <w:sz w:val="20"/>
          <w:szCs w:val="20"/>
          <w:lang w:bidi="en-US"/>
        </w:rPr>
        <w:t>Credit will be uploaded to the NABP CPE Monitor within 30 days after activity completion. It is the responsibility of the pharmacist to provide the correct information (NABP ID and DOB (MMDD) in order to receive credit</w:t>
      </w:r>
      <w:r w:rsidR="00BC12C0" w:rsidRPr="00981BAB">
        <w:rPr>
          <w:rFonts w:eastAsia="Calibri" w:cstheme="minorHAnsi"/>
          <w:sz w:val="20"/>
          <w:szCs w:val="20"/>
          <w:lang w:bidi="en-US"/>
        </w:rPr>
        <w:t>.</w:t>
      </w:r>
    </w:p>
    <w:p w14:paraId="4E444A62" w14:textId="77777777" w:rsidR="00D1185E" w:rsidRPr="004D5ED4" w:rsidRDefault="00D1185E" w:rsidP="00D1185E">
      <w:pPr>
        <w:shd w:val="clear" w:color="auto" w:fill="FFFFFF"/>
        <w:spacing w:after="0"/>
        <w:ind w:right="0"/>
        <w:jc w:val="left"/>
        <w:rPr>
          <w:rFonts w:eastAsia="Calibri" w:cstheme="minorHAnsi"/>
          <w:b/>
          <w:sz w:val="14"/>
          <w:szCs w:val="14"/>
          <w:lang w:bidi="en-US"/>
        </w:rPr>
      </w:pPr>
    </w:p>
    <w:p w14:paraId="2F2BE50A" w14:textId="77777777" w:rsidR="00E001D4" w:rsidRPr="00981BAB" w:rsidRDefault="006E2421" w:rsidP="00D1185E">
      <w:pPr>
        <w:shd w:val="clear" w:color="auto" w:fill="FFFFFF"/>
        <w:spacing w:after="0"/>
        <w:ind w:right="0"/>
        <w:jc w:val="left"/>
        <w:rPr>
          <w:rFonts w:eastAsia="Calibri" w:cstheme="minorHAnsi"/>
          <w:b/>
          <w:sz w:val="20"/>
          <w:szCs w:val="20"/>
          <w:lang w:bidi="en-US"/>
        </w:rPr>
      </w:pPr>
      <w:r w:rsidRPr="00981BAB">
        <w:rPr>
          <w:rFonts w:eastAsia="Calibri" w:cstheme="minorHAnsi"/>
          <w:b/>
          <w:sz w:val="20"/>
          <w:szCs w:val="20"/>
          <w:lang w:bidi="en-US"/>
        </w:rPr>
        <w:t>Social Workers</w:t>
      </w:r>
    </w:p>
    <w:p w14:paraId="7132918F" w14:textId="2E2A2E9F" w:rsidR="006E2421" w:rsidRPr="00981BAB" w:rsidRDefault="006E2421" w:rsidP="002E7DA9">
      <w:pPr>
        <w:shd w:val="clear" w:color="auto" w:fill="FFFFFF"/>
        <w:spacing w:after="0"/>
        <w:ind w:left="2160" w:right="0"/>
        <w:jc w:val="left"/>
        <w:rPr>
          <w:rFonts w:eastAsia="Calibri" w:cstheme="minorHAnsi"/>
          <w:b/>
          <w:sz w:val="20"/>
          <w:szCs w:val="20"/>
          <w:lang w:bidi="en-US"/>
        </w:rPr>
      </w:pPr>
      <w:r w:rsidRPr="00981BAB">
        <w:rPr>
          <w:rFonts w:eastAsia="Calibri" w:cstheme="minorHAnsi"/>
          <w:sz w:val="20"/>
          <w:szCs w:val="20"/>
          <w:lang w:bidi="en-US"/>
        </w:rPr>
        <w:t xml:space="preserve">As a Jointly Accredited Organization, the IHS Clinical Support Center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 </w:t>
      </w:r>
      <w:r w:rsidR="00DA40CF" w:rsidRPr="00981BAB">
        <w:rPr>
          <w:rFonts w:eastAsia="Calibri" w:cstheme="minorHAnsi"/>
          <w:sz w:val="20"/>
          <w:szCs w:val="20"/>
          <w:lang w:bidi="en-US"/>
        </w:rPr>
        <w:t>1</w:t>
      </w:r>
      <w:r w:rsidR="00A37415" w:rsidRPr="00981BAB">
        <w:rPr>
          <w:rFonts w:eastAsia="Calibri" w:cstheme="minorHAnsi"/>
          <w:sz w:val="20"/>
          <w:szCs w:val="20"/>
          <w:lang w:bidi="en-US"/>
        </w:rPr>
        <w:t>3</w:t>
      </w:r>
      <w:r w:rsidR="00DA40CF" w:rsidRPr="00981BAB">
        <w:rPr>
          <w:rFonts w:eastAsia="Calibri" w:cstheme="minorHAnsi"/>
          <w:sz w:val="20"/>
          <w:szCs w:val="20"/>
          <w:lang w:bidi="en-US"/>
        </w:rPr>
        <w:t>.</w:t>
      </w:r>
      <w:r w:rsidR="00A37415" w:rsidRPr="00981BAB">
        <w:rPr>
          <w:rFonts w:eastAsia="Calibri" w:cstheme="minorHAnsi"/>
          <w:sz w:val="20"/>
          <w:szCs w:val="20"/>
          <w:lang w:bidi="en-US"/>
        </w:rPr>
        <w:t>25</w:t>
      </w:r>
      <w:r w:rsidRPr="00981BAB">
        <w:rPr>
          <w:rFonts w:eastAsia="Calibri" w:cstheme="minorHAnsi"/>
          <w:sz w:val="20"/>
          <w:szCs w:val="20"/>
          <w:lang w:bidi="en-US"/>
        </w:rPr>
        <w:t xml:space="preserve"> clinical continuing education credit</w:t>
      </w:r>
      <w:r w:rsidR="00C82052" w:rsidRPr="00981BAB">
        <w:rPr>
          <w:rFonts w:eastAsia="Calibri" w:cstheme="minorHAnsi"/>
          <w:sz w:val="20"/>
          <w:szCs w:val="20"/>
          <w:lang w:bidi="en-US"/>
        </w:rPr>
        <w:t>s</w:t>
      </w:r>
      <w:r w:rsidRPr="00981BAB">
        <w:rPr>
          <w:rFonts w:eastAsia="Calibri" w:cstheme="minorHAnsi"/>
          <w:sz w:val="20"/>
          <w:szCs w:val="20"/>
          <w:lang w:bidi="en-US"/>
        </w:rPr>
        <w:t>.</w:t>
      </w:r>
      <w:r w:rsidRPr="00981BAB">
        <w:rPr>
          <w:rFonts w:eastAsia="Calibri" w:cstheme="minorHAnsi"/>
          <w:noProof/>
          <w:sz w:val="20"/>
          <w:szCs w:val="20"/>
          <w:lang w:bidi="en-US"/>
        </w:rPr>
        <w:drawing>
          <wp:anchor distT="0" distB="0" distL="114300" distR="114300" simplePos="0" relativeHeight="251673600" behindDoc="1" locked="0" layoutInCell="1" allowOverlap="1" wp14:anchorId="3C0701AD" wp14:editId="7E641871">
            <wp:simplePos x="0" y="0"/>
            <wp:positionH relativeFrom="margin">
              <wp:align>left</wp:align>
            </wp:positionH>
            <wp:positionV relativeFrom="paragraph">
              <wp:posOffset>5080</wp:posOffset>
            </wp:positionV>
            <wp:extent cx="1195070" cy="457200"/>
            <wp:effectExtent l="0" t="0" r="5080" b="0"/>
            <wp:wrapTight wrapText="bothSides">
              <wp:wrapPolygon edited="0">
                <wp:start x="0" y="0"/>
                <wp:lineTo x="0" y="20700"/>
                <wp:lineTo x="21348" y="20700"/>
                <wp:lineTo x="21348" y="0"/>
                <wp:lineTo x="0" y="0"/>
              </wp:wrapPolygon>
            </wp:wrapTight>
            <wp:docPr id="1577004125" name="Picture 1577004125" descr="American Psychological Association (APA) Office of Continuing Education in Psychology (CE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erican Psychological Association (APA) Office of Continuing Education in Psychology (CEP)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507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B0818" w14:textId="77777777" w:rsidR="006A6046" w:rsidRPr="00981BAB" w:rsidRDefault="006A6046" w:rsidP="00D1185E">
      <w:pPr>
        <w:shd w:val="clear" w:color="auto" w:fill="FFFFFF"/>
        <w:spacing w:after="0"/>
        <w:ind w:left="0" w:right="0"/>
        <w:jc w:val="left"/>
        <w:rPr>
          <w:rFonts w:eastAsia="Times New Roman" w:cstheme="minorHAnsi"/>
          <w:color w:val="1D1D1D"/>
          <w:sz w:val="20"/>
          <w:szCs w:val="20"/>
        </w:rPr>
      </w:pPr>
    </w:p>
    <w:p w14:paraId="047EA5B8" w14:textId="1B029884" w:rsidR="002D5D09" w:rsidRPr="00981BAB" w:rsidRDefault="006A6046" w:rsidP="3D999C51">
      <w:pPr>
        <w:spacing w:after="0"/>
        <w:ind w:left="90" w:right="0" w:firstLine="11"/>
        <w:jc w:val="left"/>
        <w:rPr>
          <w:rFonts w:eastAsia="Times New Roman" w:cstheme="minorHAnsi"/>
          <w:sz w:val="20"/>
          <w:szCs w:val="20"/>
        </w:rPr>
      </w:pPr>
      <w:r w:rsidRPr="00981BAB">
        <w:rPr>
          <w:rFonts w:eastAsia="Times New Roman" w:cstheme="minorHAnsi"/>
          <w:b/>
          <w:bCs/>
          <w:sz w:val="20"/>
          <w:szCs w:val="20"/>
        </w:rPr>
        <w:t>Disclosure Statement</w:t>
      </w:r>
      <w:r w:rsidRPr="00981BAB">
        <w:rPr>
          <w:rFonts w:eastAsia="Times New Roman" w:cstheme="minorHAnsi"/>
          <w:sz w:val="20"/>
          <w:szCs w:val="20"/>
        </w:rPr>
        <w:t xml:space="preserve">: </w:t>
      </w:r>
      <w:r w:rsidR="002D5D09" w:rsidRPr="00981BAB">
        <w:rPr>
          <w:rFonts w:eastAsia="Times New Roman" w:cstheme="minorHAnsi"/>
          <w:sz w:val="20"/>
          <w:szCs w:val="20"/>
        </w:rPr>
        <w:t>As a jointly accredited provider of continuing education, the IHS Clinical Support Center is committed to ensuring balance, independence, objectivity, and scientific rigor in its educational activities. Course directors/coordinators, planning committee members, faculty, reviewers, and all others in a position to control the content of this educational activity are required to disclose all financial relationships with ineligible companies within the prior 24 months</w:t>
      </w:r>
      <w:r w:rsidR="00A21B47" w:rsidRPr="00981BAB">
        <w:rPr>
          <w:rFonts w:eastAsia="Times New Roman" w:cstheme="minorHAnsi"/>
          <w:sz w:val="20"/>
          <w:szCs w:val="20"/>
        </w:rPr>
        <w:t xml:space="preserve">. </w:t>
      </w:r>
      <w:r w:rsidR="00E563F2" w:rsidRPr="00981BAB">
        <w:rPr>
          <w:rFonts w:eastAsia="Times New Roman" w:cstheme="minorHAnsi"/>
          <w:sz w:val="20"/>
          <w:szCs w:val="20"/>
        </w:rPr>
        <w:t xml:space="preserve"> </w:t>
      </w:r>
      <w:r w:rsidR="00A21B47" w:rsidRPr="00981BAB">
        <w:rPr>
          <w:rFonts w:eastAsia="Times New Roman" w:cstheme="minorHAnsi"/>
          <w:sz w:val="20"/>
          <w:szCs w:val="20"/>
        </w:rPr>
        <w:t xml:space="preserve">Safeguards against commercial bias have been put in place. Faculty will also disclose any off-label and/or investigational use of pharmaceuticals or instruments discussed in their presentation. All those who are in a position to control the content of this educational activity have completed the disclosure process and have indicated that they do not have any relevant financial relationships or affiliations with any manufacturers or commercial products to disclose </w:t>
      </w:r>
      <w:r w:rsidR="00E563F2" w:rsidRPr="00981BAB">
        <w:rPr>
          <w:rFonts w:eastAsia="Times New Roman" w:cstheme="minorHAnsi"/>
          <w:sz w:val="20"/>
          <w:szCs w:val="20"/>
        </w:rPr>
        <w:t>with the exception of:</w:t>
      </w:r>
    </w:p>
    <w:p w14:paraId="143E194B" w14:textId="7D599558" w:rsidR="002D5D09" w:rsidRPr="00981BAB" w:rsidRDefault="002D5D09" w:rsidP="00E001D4">
      <w:pPr>
        <w:pStyle w:val="ListParagraph"/>
        <w:numPr>
          <w:ilvl w:val="0"/>
          <w:numId w:val="16"/>
        </w:numPr>
        <w:rPr>
          <w:rFonts w:asciiTheme="minorHAnsi" w:eastAsia="Times New Roman" w:hAnsiTheme="minorHAnsi" w:cstheme="minorHAnsi"/>
          <w:sz w:val="20"/>
          <w:szCs w:val="20"/>
        </w:rPr>
      </w:pPr>
      <w:r w:rsidRPr="00981BAB">
        <w:rPr>
          <w:rFonts w:asciiTheme="minorHAnsi" w:eastAsia="Times New Roman" w:hAnsiTheme="minorHAnsi" w:cstheme="minorHAnsi"/>
          <w:sz w:val="20"/>
          <w:szCs w:val="20"/>
        </w:rPr>
        <w:t>Jorge Mera,</w:t>
      </w:r>
      <w:r w:rsidR="00E563F2" w:rsidRPr="00981BAB">
        <w:rPr>
          <w:rFonts w:asciiTheme="minorHAnsi" w:eastAsia="Times New Roman" w:hAnsiTheme="minorHAnsi" w:cstheme="minorHAnsi"/>
          <w:sz w:val="20"/>
          <w:szCs w:val="20"/>
        </w:rPr>
        <w:t xml:space="preserve"> </w:t>
      </w:r>
      <w:r w:rsidR="00E001D4" w:rsidRPr="00981BAB">
        <w:rPr>
          <w:rFonts w:asciiTheme="minorHAnsi" w:eastAsia="Times New Roman" w:hAnsiTheme="minorHAnsi" w:cstheme="minorHAnsi"/>
          <w:sz w:val="20"/>
          <w:szCs w:val="20"/>
        </w:rPr>
        <w:t xml:space="preserve">MD, </w:t>
      </w:r>
      <w:r w:rsidR="000D662A" w:rsidRPr="00981BAB">
        <w:rPr>
          <w:rFonts w:asciiTheme="minorHAnsi" w:eastAsia="Times New Roman" w:hAnsiTheme="minorHAnsi" w:cstheme="minorHAnsi"/>
          <w:sz w:val="20"/>
          <w:szCs w:val="20"/>
        </w:rPr>
        <w:t>planner</w:t>
      </w:r>
      <w:r w:rsidR="00E001D4" w:rsidRPr="00981BAB">
        <w:rPr>
          <w:rFonts w:asciiTheme="minorHAnsi" w:eastAsia="Times New Roman" w:hAnsiTheme="minorHAnsi" w:cstheme="minorHAnsi"/>
          <w:sz w:val="20"/>
          <w:szCs w:val="20"/>
        </w:rPr>
        <w:t xml:space="preserve"> and </w:t>
      </w:r>
      <w:r w:rsidR="72F59C99" w:rsidRPr="00981BAB">
        <w:rPr>
          <w:rFonts w:asciiTheme="minorHAnsi" w:eastAsia="Times New Roman" w:hAnsiTheme="minorHAnsi" w:cstheme="minorHAnsi"/>
          <w:sz w:val="20"/>
          <w:szCs w:val="20"/>
        </w:rPr>
        <w:t>faculty</w:t>
      </w:r>
      <w:r w:rsidR="00E563F2" w:rsidRPr="00981BAB">
        <w:rPr>
          <w:rFonts w:asciiTheme="minorHAnsi" w:eastAsia="Times New Roman" w:hAnsiTheme="minorHAnsi" w:cstheme="minorHAnsi"/>
          <w:sz w:val="20"/>
          <w:szCs w:val="20"/>
        </w:rPr>
        <w:t xml:space="preserve"> for this educational activity</w:t>
      </w:r>
      <w:r w:rsidR="007E1CAF" w:rsidRPr="00981BAB">
        <w:rPr>
          <w:rFonts w:asciiTheme="minorHAnsi" w:eastAsia="Times New Roman" w:hAnsiTheme="minorHAnsi" w:cstheme="minorHAnsi"/>
          <w:sz w:val="20"/>
          <w:szCs w:val="20"/>
        </w:rPr>
        <w:t>,</w:t>
      </w:r>
      <w:r w:rsidR="00334B80" w:rsidRPr="00981BAB">
        <w:rPr>
          <w:rFonts w:asciiTheme="minorHAnsi" w:eastAsia="Times New Roman" w:hAnsiTheme="minorHAnsi" w:cstheme="minorHAnsi"/>
          <w:sz w:val="20"/>
          <w:szCs w:val="20"/>
        </w:rPr>
        <w:t xml:space="preserve"> disclosed that he</w:t>
      </w:r>
      <w:r w:rsidR="00E563F2" w:rsidRPr="00981BAB">
        <w:rPr>
          <w:rFonts w:asciiTheme="minorHAnsi" w:eastAsia="Times New Roman" w:hAnsiTheme="minorHAnsi" w:cstheme="minorHAnsi"/>
          <w:sz w:val="20"/>
          <w:szCs w:val="20"/>
        </w:rPr>
        <w:t xml:space="preserve"> </w:t>
      </w:r>
      <w:r w:rsidR="00FD06E4" w:rsidRPr="00981BAB">
        <w:rPr>
          <w:rFonts w:asciiTheme="minorHAnsi" w:eastAsia="Times New Roman" w:hAnsiTheme="minorHAnsi" w:cstheme="minorHAnsi"/>
          <w:sz w:val="20"/>
          <w:szCs w:val="20"/>
        </w:rPr>
        <w:t xml:space="preserve">is on the speakers’ bureau for </w:t>
      </w:r>
      <w:r w:rsidRPr="00981BAB">
        <w:rPr>
          <w:rFonts w:asciiTheme="minorHAnsi" w:eastAsia="Times New Roman" w:hAnsiTheme="minorHAnsi" w:cstheme="minorHAnsi"/>
          <w:sz w:val="20"/>
          <w:szCs w:val="20"/>
        </w:rPr>
        <w:t>AbbVie</w:t>
      </w:r>
      <w:r w:rsidR="00FD06E4" w:rsidRPr="00981BAB">
        <w:rPr>
          <w:rFonts w:asciiTheme="minorHAnsi" w:eastAsia="Times New Roman" w:hAnsiTheme="minorHAnsi" w:cstheme="minorHAnsi"/>
          <w:sz w:val="20"/>
          <w:szCs w:val="20"/>
        </w:rPr>
        <w:t xml:space="preserve"> Pharmaceuticals and receive</w:t>
      </w:r>
      <w:r w:rsidR="00334B80" w:rsidRPr="00981BAB">
        <w:rPr>
          <w:rFonts w:asciiTheme="minorHAnsi" w:eastAsia="Times New Roman" w:hAnsiTheme="minorHAnsi" w:cstheme="minorHAnsi"/>
          <w:sz w:val="20"/>
          <w:szCs w:val="20"/>
        </w:rPr>
        <w:t>s</w:t>
      </w:r>
      <w:r w:rsidR="00FD06E4" w:rsidRPr="00981BAB">
        <w:rPr>
          <w:rFonts w:asciiTheme="minorHAnsi" w:eastAsia="Times New Roman" w:hAnsiTheme="minorHAnsi" w:cstheme="minorHAnsi"/>
          <w:sz w:val="20"/>
          <w:szCs w:val="20"/>
        </w:rPr>
        <w:t xml:space="preserve"> research grant</w:t>
      </w:r>
      <w:r w:rsidR="00334B80" w:rsidRPr="00981BAB">
        <w:rPr>
          <w:rFonts w:asciiTheme="minorHAnsi" w:eastAsia="Times New Roman" w:hAnsiTheme="minorHAnsi" w:cstheme="minorHAnsi"/>
          <w:sz w:val="20"/>
          <w:szCs w:val="20"/>
        </w:rPr>
        <w:t xml:space="preserve"> support</w:t>
      </w:r>
      <w:r w:rsidR="00FD06E4" w:rsidRPr="00981BAB">
        <w:rPr>
          <w:rFonts w:asciiTheme="minorHAnsi" w:eastAsia="Times New Roman" w:hAnsiTheme="minorHAnsi" w:cstheme="minorHAnsi"/>
          <w:sz w:val="20"/>
          <w:szCs w:val="20"/>
        </w:rPr>
        <w:t xml:space="preserve"> from</w:t>
      </w:r>
      <w:r w:rsidR="00334B80" w:rsidRPr="00981BAB">
        <w:rPr>
          <w:rFonts w:asciiTheme="minorHAnsi" w:eastAsia="Times New Roman" w:hAnsiTheme="minorHAnsi" w:cstheme="minorHAnsi"/>
          <w:sz w:val="20"/>
          <w:szCs w:val="20"/>
        </w:rPr>
        <w:t xml:space="preserve"> the following pharmaceutical companies</w:t>
      </w:r>
      <w:r w:rsidR="00E001D4" w:rsidRPr="00981BAB">
        <w:rPr>
          <w:rFonts w:asciiTheme="minorHAnsi" w:eastAsia="Times New Roman" w:hAnsiTheme="minorHAnsi" w:cstheme="minorHAnsi"/>
          <w:sz w:val="20"/>
          <w:szCs w:val="20"/>
        </w:rPr>
        <w:t>:</w:t>
      </w:r>
      <w:r w:rsidR="00FD06E4" w:rsidRPr="00981BAB">
        <w:rPr>
          <w:rFonts w:asciiTheme="minorHAnsi" w:eastAsia="Times New Roman" w:hAnsiTheme="minorHAnsi" w:cstheme="minorHAnsi"/>
          <w:sz w:val="20"/>
          <w:szCs w:val="20"/>
        </w:rPr>
        <w:t xml:space="preserve"> </w:t>
      </w:r>
      <w:r w:rsidRPr="00981BAB">
        <w:rPr>
          <w:rFonts w:asciiTheme="minorHAnsi" w:eastAsia="Times New Roman" w:hAnsiTheme="minorHAnsi" w:cstheme="minorHAnsi"/>
          <w:sz w:val="20"/>
          <w:szCs w:val="20"/>
        </w:rPr>
        <w:t>Gilead</w:t>
      </w:r>
      <w:r w:rsidR="00FD06E4" w:rsidRPr="00981BAB">
        <w:rPr>
          <w:rFonts w:asciiTheme="minorHAnsi" w:eastAsia="Times New Roman" w:hAnsiTheme="minorHAnsi" w:cstheme="minorHAnsi"/>
          <w:sz w:val="20"/>
          <w:szCs w:val="20"/>
        </w:rPr>
        <w:t xml:space="preserve"> Sciences </w:t>
      </w:r>
      <w:r w:rsidR="00334B80" w:rsidRPr="00981BAB">
        <w:rPr>
          <w:rFonts w:asciiTheme="minorHAnsi" w:eastAsia="Times New Roman" w:hAnsiTheme="minorHAnsi" w:cstheme="minorHAnsi"/>
          <w:sz w:val="20"/>
          <w:szCs w:val="20"/>
        </w:rPr>
        <w:t>Inc., AbbVie and Abbott</w:t>
      </w:r>
      <w:r w:rsidR="00E001D4" w:rsidRPr="00981BAB">
        <w:rPr>
          <w:rFonts w:asciiTheme="minorHAnsi" w:eastAsia="Times New Roman" w:hAnsiTheme="minorHAnsi" w:cstheme="minorHAnsi"/>
          <w:sz w:val="20"/>
          <w:szCs w:val="20"/>
        </w:rPr>
        <w:t>.</w:t>
      </w:r>
    </w:p>
    <w:p w14:paraId="3F59CBD4" w14:textId="7939FA31" w:rsidR="008951B6" w:rsidRPr="00981BAB" w:rsidRDefault="00C20D2D" w:rsidP="008B4010">
      <w:pPr>
        <w:spacing w:after="0"/>
        <w:ind w:right="0"/>
        <w:jc w:val="left"/>
        <w:rPr>
          <w:rFonts w:eastAsiaTheme="minorEastAsia" w:cstheme="minorHAnsi"/>
          <w:sz w:val="20"/>
          <w:szCs w:val="20"/>
        </w:rPr>
      </w:pPr>
      <w:r w:rsidRPr="00981BAB">
        <w:rPr>
          <w:rFonts w:eastAsia="Times New Roman" w:cstheme="minorHAnsi"/>
          <w:sz w:val="20"/>
          <w:szCs w:val="20"/>
        </w:rPr>
        <w:t>All</w:t>
      </w:r>
      <w:r w:rsidR="008951B6" w:rsidRPr="00981BAB">
        <w:rPr>
          <w:rFonts w:eastAsia="Times New Roman" w:cstheme="minorHAnsi"/>
          <w:sz w:val="20"/>
          <w:szCs w:val="20"/>
        </w:rPr>
        <w:t xml:space="preserve"> the relevant financial relationships listed</w:t>
      </w:r>
      <w:r w:rsidR="008951B6" w:rsidRPr="00981BAB">
        <w:rPr>
          <w:rFonts w:cstheme="minorHAnsi"/>
          <w:sz w:val="20"/>
          <w:szCs w:val="20"/>
        </w:rPr>
        <w:t xml:space="preserve"> </w:t>
      </w:r>
      <w:r w:rsidR="008951B6" w:rsidRPr="00981BAB">
        <w:rPr>
          <w:rFonts w:eastAsia="Times New Roman" w:cstheme="minorHAnsi"/>
          <w:sz w:val="20"/>
          <w:szCs w:val="20"/>
        </w:rPr>
        <w:t>have been mitigated</w:t>
      </w:r>
      <w:r w:rsidRPr="00981BAB">
        <w:rPr>
          <w:rFonts w:eastAsia="Times New Roman" w:cstheme="minorHAnsi"/>
          <w:sz w:val="20"/>
          <w:szCs w:val="20"/>
        </w:rPr>
        <w:t>.</w:t>
      </w:r>
      <w:r w:rsidR="4C28F094" w:rsidRPr="00981BAB">
        <w:rPr>
          <w:rFonts w:eastAsia="Times New Roman" w:cstheme="minorHAnsi"/>
          <w:sz w:val="20"/>
          <w:szCs w:val="20"/>
        </w:rPr>
        <w:t xml:space="preserve"> </w:t>
      </w:r>
    </w:p>
    <w:p w14:paraId="044A5E85" w14:textId="08E1FD1D" w:rsidR="008951B6" w:rsidRPr="004D5ED4" w:rsidRDefault="008951B6" w:rsidP="3D999C51">
      <w:pPr>
        <w:spacing w:after="0"/>
        <w:ind w:left="90" w:right="0" w:firstLine="11"/>
        <w:jc w:val="left"/>
        <w:rPr>
          <w:rFonts w:eastAsiaTheme="minorEastAsia" w:cstheme="minorHAnsi"/>
          <w:sz w:val="10"/>
          <w:szCs w:val="10"/>
        </w:rPr>
      </w:pPr>
    </w:p>
    <w:p w14:paraId="70B72E85" w14:textId="219CD7C9" w:rsidR="008951B6" w:rsidRPr="00981BAB" w:rsidRDefault="4C28F094" w:rsidP="3D999C51">
      <w:pPr>
        <w:spacing w:after="0"/>
        <w:ind w:left="90" w:right="0" w:firstLine="11"/>
        <w:jc w:val="left"/>
        <w:rPr>
          <w:rFonts w:eastAsiaTheme="minorEastAsia" w:cstheme="minorHAnsi"/>
          <w:sz w:val="20"/>
          <w:szCs w:val="20"/>
        </w:rPr>
      </w:pPr>
      <w:r w:rsidRPr="00981BAB">
        <w:rPr>
          <w:rFonts w:eastAsiaTheme="minorEastAsia" w:cstheme="minorHAnsi"/>
          <w:sz w:val="20"/>
          <w:szCs w:val="20"/>
        </w:rPr>
        <w:t>There is no commercial interest support for this educational activity.</w:t>
      </w:r>
    </w:p>
    <w:p w14:paraId="62486C05" w14:textId="77777777" w:rsidR="004B77E9" w:rsidRPr="00C23A71" w:rsidRDefault="004B77E9" w:rsidP="00D1185E">
      <w:pPr>
        <w:shd w:val="clear" w:color="auto" w:fill="FFFFFF"/>
        <w:spacing w:after="0"/>
        <w:ind w:left="0" w:right="0"/>
        <w:jc w:val="left"/>
        <w:rPr>
          <w:rFonts w:eastAsiaTheme="minorEastAsia" w:cstheme="minorHAnsi"/>
          <w:bCs/>
          <w:sz w:val="21"/>
          <w:szCs w:val="21"/>
        </w:rPr>
      </w:pPr>
    </w:p>
    <w:p w14:paraId="09717B96" w14:textId="77777777" w:rsidR="004B77E9" w:rsidRPr="00C23A71" w:rsidRDefault="004B77E9" w:rsidP="00D1185E">
      <w:pPr>
        <w:shd w:val="clear" w:color="auto" w:fill="FFFFFF"/>
        <w:spacing w:after="0"/>
        <w:ind w:left="0" w:right="0"/>
        <w:jc w:val="left"/>
        <w:rPr>
          <w:rFonts w:eastAsiaTheme="minorEastAsia" w:cstheme="minorHAnsi"/>
          <w:sz w:val="21"/>
          <w:szCs w:val="21"/>
        </w:rPr>
      </w:pPr>
      <w:r w:rsidRPr="00C23A71">
        <w:rPr>
          <w:rFonts w:eastAsiaTheme="minorEastAsia" w:cstheme="minorHAnsi"/>
          <w:b/>
          <w:bCs/>
          <w:sz w:val="21"/>
          <w:szCs w:val="21"/>
        </w:rPr>
        <w:t>Privacy Policies</w:t>
      </w:r>
    </w:p>
    <w:p w14:paraId="6E36D27F" w14:textId="77777777" w:rsidR="004B77E9" w:rsidRPr="00981BAB" w:rsidRDefault="004B77E9" w:rsidP="00D1185E">
      <w:pPr>
        <w:shd w:val="clear" w:color="auto" w:fill="FFFFFF"/>
        <w:spacing w:after="0"/>
        <w:ind w:left="0" w:right="0"/>
        <w:jc w:val="left"/>
        <w:rPr>
          <w:rFonts w:eastAsiaTheme="minorEastAsia" w:cstheme="minorHAnsi"/>
          <w:sz w:val="20"/>
          <w:szCs w:val="20"/>
        </w:rPr>
      </w:pPr>
      <w:r w:rsidRPr="00981BAB">
        <w:rPr>
          <w:rFonts w:eastAsiaTheme="minorEastAsia" w:cstheme="minorHAnsi"/>
          <w:sz w:val="20"/>
          <w:szCs w:val="20"/>
        </w:rPr>
        <w:t>Before you begin the training, you can review the IHS Privacy Policy (</w:t>
      </w:r>
      <w:hyperlink r:id="rId13" w:history="1">
        <w:r w:rsidRPr="00981BAB">
          <w:rPr>
            <w:rFonts w:eastAsiaTheme="minorEastAsia" w:cstheme="minorHAnsi"/>
            <w:sz w:val="20"/>
            <w:szCs w:val="20"/>
            <w:u w:val="single"/>
          </w:rPr>
          <w:t>https://www.ihs.gov/privacypolicy/</w:t>
        </w:r>
      </w:hyperlink>
      <w:r w:rsidRPr="00981BAB">
        <w:rPr>
          <w:rFonts w:eastAsiaTheme="minorEastAsia" w:cstheme="minorHAnsi"/>
          <w:sz w:val="20"/>
          <w:szCs w:val="20"/>
        </w:rPr>
        <w:t>). </w:t>
      </w:r>
    </w:p>
    <w:p w14:paraId="57961A9B" w14:textId="77777777" w:rsidR="004B77E9" w:rsidRPr="00981BAB" w:rsidRDefault="004B77E9" w:rsidP="00D1185E">
      <w:pPr>
        <w:shd w:val="clear" w:color="auto" w:fill="FFFFFF"/>
        <w:spacing w:after="0"/>
        <w:ind w:left="0" w:right="0"/>
        <w:jc w:val="left"/>
        <w:rPr>
          <w:rFonts w:eastAsiaTheme="minorEastAsia" w:cstheme="minorHAnsi"/>
          <w:sz w:val="20"/>
          <w:szCs w:val="20"/>
        </w:rPr>
      </w:pPr>
      <w:r w:rsidRPr="00981BAB">
        <w:rPr>
          <w:rFonts w:eastAsiaTheme="minorEastAsia" w:cstheme="minorHAnsi"/>
          <w:sz w:val="20"/>
          <w:szCs w:val="20"/>
        </w:rPr>
        <w:t xml:space="preserve">You can also review the Survey Monkey Privacy Policy for details on how user information submitted in the evaluation is protected. </w:t>
      </w:r>
      <w:hyperlink r:id="rId14" w:tooltip="Survey Monkey Privacy Policy" w:history="1">
        <w:r w:rsidRPr="00981BAB">
          <w:rPr>
            <w:rFonts w:eastAsiaTheme="minorEastAsia" w:cstheme="minorHAnsi"/>
            <w:sz w:val="20"/>
            <w:szCs w:val="20"/>
            <w:u w:val="single"/>
          </w:rPr>
          <w:t>http://www.surveymonkey.com/mp/policy/privacy-policy/</w:t>
        </w:r>
      </w:hyperlink>
    </w:p>
    <w:p w14:paraId="4101652C" w14:textId="77777777" w:rsidR="004B77E9" w:rsidRPr="00C23A71" w:rsidRDefault="004B77E9" w:rsidP="00D1185E">
      <w:pPr>
        <w:widowControl w:val="0"/>
        <w:kinsoku w:val="0"/>
        <w:overflowPunct w:val="0"/>
        <w:autoSpaceDE w:val="0"/>
        <w:autoSpaceDN w:val="0"/>
        <w:adjustRightInd w:val="0"/>
        <w:spacing w:after="0"/>
        <w:ind w:left="0" w:right="0"/>
        <w:jc w:val="left"/>
        <w:rPr>
          <w:rFonts w:eastAsiaTheme="minorEastAsia" w:cstheme="minorHAnsi"/>
          <w:b/>
          <w:bCs/>
          <w:sz w:val="21"/>
          <w:szCs w:val="21"/>
        </w:rPr>
      </w:pPr>
    </w:p>
    <w:p w14:paraId="4B99056E" w14:textId="2FF95237" w:rsidR="005C0760" w:rsidRPr="00C23A71" w:rsidRDefault="006A6046" w:rsidP="00D1185E">
      <w:pPr>
        <w:spacing w:after="0"/>
        <w:ind w:left="0" w:right="0"/>
        <w:jc w:val="left"/>
        <w:rPr>
          <w:rFonts w:eastAsia="Times New Roman" w:cstheme="minorHAnsi"/>
          <w:sz w:val="21"/>
          <w:szCs w:val="21"/>
        </w:rPr>
      </w:pPr>
      <w:r w:rsidRPr="00C23A71">
        <w:rPr>
          <w:rFonts w:eastAsia="Times New Roman" w:cstheme="minorHAnsi"/>
          <w:b/>
          <w:sz w:val="21"/>
          <w:szCs w:val="21"/>
        </w:rPr>
        <w:t>Additional Information/Technical Support</w:t>
      </w:r>
      <w:r w:rsidR="00AE423F" w:rsidRPr="00C23A71">
        <w:rPr>
          <w:rFonts w:eastAsia="Times New Roman" w:cstheme="minorHAnsi"/>
          <w:b/>
          <w:sz w:val="21"/>
          <w:szCs w:val="21"/>
        </w:rPr>
        <w:t xml:space="preserve"> - </w:t>
      </w:r>
      <w:r w:rsidR="005C0760" w:rsidRPr="00C23A71">
        <w:rPr>
          <w:rFonts w:eastAsia="Times New Roman" w:cstheme="minorHAnsi"/>
          <w:sz w:val="21"/>
          <w:szCs w:val="21"/>
        </w:rPr>
        <w:t xml:space="preserve">Email </w:t>
      </w:r>
      <w:hyperlink r:id="rId15" w:history="1">
        <w:r w:rsidR="00A95735" w:rsidRPr="00C23A71">
          <w:rPr>
            <w:rStyle w:val="Hyperlink"/>
            <w:rFonts w:eastAsia="Times New Roman" w:cstheme="minorHAnsi"/>
            <w:sz w:val="21"/>
            <w:szCs w:val="21"/>
          </w:rPr>
          <w:t>echo@npaihb.org</w:t>
        </w:r>
      </w:hyperlink>
    </w:p>
    <w:sectPr w:rsidR="005C0760" w:rsidRPr="00C23A71" w:rsidSect="006B1BE3">
      <w:pgSz w:w="12240" w:h="15840"/>
      <w:pgMar w:top="630" w:right="634" w:bottom="360"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DF344E"/>
    <w:multiLevelType w:val="hybridMultilevel"/>
    <w:tmpl w:val="C8E8198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1182557E"/>
    <w:multiLevelType w:val="hybridMultilevel"/>
    <w:tmpl w:val="08863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8B6395"/>
    <w:multiLevelType w:val="hybridMultilevel"/>
    <w:tmpl w:val="459CC4A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 w15:restartNumberingAfterBreak="0">
    <w:nsid w:val="278F4302"/>
    <w:multiLevelType w:val="hybridMultilevel"/>
    <w:tmpl w:val="EA6AAB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7C438EC"/>
    <w:multiLevelType w:val="hybridMultilevel"/>
    <w:tmpl w:val="D688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9280E"/>
    <w:multiLevelType w:val="hybridMultilevel"/>
    <w:tmpl w:val="DCD0B886"/>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6" w15:restartNumberingAfterBreak="0">
    <w:nsid w:val="36AF091A"/>
    <w:multiLevelType w:val="hybridMultilevel"/>
    <w:tmpl w:val="A1E45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462F2F"/>
    <w:multiLevelType w:val="hybridMultilevel"/>
    <w:tmpl w:val="946C7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9A3271"/>
    <w:multiLevelType w:val="hybridMultilevel"/>
    <w:tmpl w:val="B7B08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C7E4E"/>
    <w:multiLevelType w:val="hybridMultilevel"/>
    <w:tmpl w:val="7E7E2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5D2288"/>
    <w:multiLevelType w:val="hybridMultilevel"/>
    <w:tmpl w:val="0ACA68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DC6A30"/>
    <w:multiLevelType w:val="hybridMultilevel"/>
    <w:tmpl w:val="10B8B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A268CF"/>
    <w:multiLevelType w:val="hybridMultilevel"/>
    <w:tmpl w:val="20465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D4036EB"/>
    <w:multiLevelType w:val="hybridMultilevel"/>
    <w:tmpl w:val="F9582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0066B9D"/>
    <w:multiLevelType w:val="hybridMultilevel"/>
    <w:tmpl w:val="7854C2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737E043C"/>
    <w:multiLevelType w:val="hybridMultilevel"/>
    <w:tmpl w:val="391E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EA751D"/>
    <w:multiLevelType w:val="hybridMultilevel"/>
    <w:tmpl w:val="48FC6DA8"/>
    <w:lvl w:ilvl="0" w:tplc="30F6CC12">
      <w:start w:val="1"/>
      <w:numFmt w:val="decimal"/>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7B00B5"/>
    <w:multiLevelType w:val="hybridMultilevel"/>
    <w:tmpl w:val="7B1C65F4"/>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num w:numId="1" w16cid:durableId="5855811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39316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30453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0704796">
    <w:abstractNumId w:val="3"/>
  </w:num>
  <w:num w:numId="5" w16cid:durableId="449473800">
    <w:abstractNumId w:val="4"/>
  </w:num>
  <w:num w:numId="6" w16cid:durableId="111632499">
    <w:abstractNumId w:val="10"/>
  </w:num>
  <w:num w:numId="7" w16cid:durableId="256211700">
    <w:abstractNumId w:val="6"/>
  </w:num>
  <w:num w:numId="8" w16cid:durableId="664822638">
    <w:abstractNumId w:val="16"/>
  </w:num>
  <w:num w:numId="9" w16cid:durableId="1655259315">
    <w:abstractNumId w:val="9"/>
  </w:num>
  <w:num w:numId="10" w16cid:durableId="1365862243">
    <w:abstractNumId w:val="11"/>
  </w:num>
  <w:num w:numId="11" w16cid:durableId="505635389">
    <w:abstractNumId w:val="2"/>
  </w:num>
  <w:num w:numId="12" w16cid:durableId="1420172589">
    <w:abstractNumId w:val="0"/>
  </w:num>
  <w:num w:numId="13" w16cid:durableId="293567140">
    <w:abstractNumId w:val="5"/>
  </w:num>
  <w:num w:numId="14" w16cid:durableId="1231306896">
    <w:abstractNumId w:val="15"/>
  </w:num>
  <w:num w:numId="15" w16cid:durableId="1877114682">
    <w:abstractNumId w:val="8"/>
  </w:num>
  <w:num w:numId="16" w16cid:durableId="563876547">
    <w:abstractNumId w:val="17"/>
  </w:num>
  <w:num w:numId="17" w16cid:durableId="1823237084">
    <w:abstractNumId w:val="7"/>
  </w:num>
  <w:num w:numId="18" w16cid:durableId="1898542130">
    <w:abstractNumId w:val="12"/>
  </w:num>
  <w:num w:numId="19" w16cid:durableId="912471326">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44"/>
    <w:rsid w:val="00012A75"/>
    <w:rsid w:val="00015AC3"/>
    <w:rsid w:val="00016220"/>
    <w:rsid w:val="000272B8"/>
    <w:rsid w:val="000510BF"/>
    <w:rsid w:val="00064CE5"/>
    <w:rsid w:val="00065776"/>
    <w:rsid w:val="00080562"/>
    <w:rsid w:val="000813EA"/>
    <w:rsid w:val="0008165E"/>
    <w:rsid w:val="00084F0B"/>
    <w:rsid w:val="000872F8"/>
    <w:rsid w:val="00095508"/>
    <w:rsid w:val="000B08CD"/>
    <w:rsid w:val="000B2CFB"/>
    <w:rsid w:val="000D39DD"/>
    <w:rsid w:val="000D49C1"/>
    <w:rsid w:val="000D662A"/>
    <w:rsid w:val="000D6D40"/>
    <w:rsid w:val="00107AE7"/>
    <w:rsid w:val="001121EB"/>
    <w:rsid w:val="001134CF"/>
    <w:rsid w:val="00124F59"/>
    <w:rsid w:val="00164090"/>
    <w:rsid w:val="001704EB"/>
    <w:rsid w:val="00190214"/>
    <w:rsid w:val="001B2372"/>
    <w:rsid w:val="001B3393"/>
    <w:rsid w:val="001D62E5"/>
    <w:rsid w:val="001F2C8D"/>
    <w:rsid w:val="001F3CD2"/>
    <w:rsid w:val="001F4ABF"/>
    <w:rsid w:val="001F71DD"/>
    <w:rsid w:val="00203E89"/>
    <w:rsid w:val="00217085"/>
    <w:rsid w:val="00227E0B"/>
    <w:rsid w:val="00267B34"/>
    <w:rsid w:val="0028320B"/>
    <w:rsid w:val="00295F02"/>
    <w:rsid w:val="002A764B"/>
    <w:rsid w:val="002B05D9"/>
    <w:rsid w:val="002B45E5"/>
    <w:rsid w:val="002B4CEA"/>
    <w:rsid w:val="002B59EF"/>
    <w:rsid w:val="002B7560"/>
    <w:rsid w:val="002C5229"/>
    <w:rsid w:val="002C7B44"/>
    <w:rsid w:val="002C7DCB"/>
    <w:rsid w:val="002D5D09"/>
    <w:rsid w:val="002E08B0"/>
    <w:rsid w:val="002E562E"/>
    <w:rsid w:val="002E7DA9"/>
    <w:rsid w:val="00304682"/>
    <w:rsid w:val="0033261F"/>
    <w:rsid w:val="00334B80"/>
    <w:rsid w:val="00337136"/>
    <w:rsid w:val="00360CB5"/>
    <w:rsid w:val="00386B8A"/>
    <w:rsid w:val="003B5A81"/>
    <w:rsid w:val="003C48CF"/>
    <w:rsid w:val="003D4911"/>
    <w:rsid w:val="003F1289"/>
    <w:rsid w:val="00405C2F"/>
    <w:rsid w:val="0043013D"/>
    <w:rsid w:val="00463757"/>
    <w:rsid w:val="00472DB8"/>
    <w:rsid w:val="00476B1F"/>
    <w:rsid w:val="004B58AF"/>
    <w:rsid w:val="004B77E9"/>
    <w:rsid w:val="004C167A"/>
    <w:rsid w:val="004C59D4"/>
    <w:rsid w:val="004D1217"/>
    <w:rsid w:val="004D5ED4"/>
    <w:rsid w:val="0050041E"/>
    <w:rsid w:val="00500858"/>
    <w:rsid w:val="00500961"/>
    <w:rsid w:val="00510843"/>
    <w:rsid w:val="00513AE8"/>
    <w:rsid w:val="005204D9"/>
    <w:rsid w:val="00520E1E"/>
    <w:rsid w:val="005378F4"/>
    <w:rsid w:val="005576F4"/>
    <w:rsid w:val="00574050"/>
    <w:rsid w:val="005821EC"/>
    <w:rsid w:val="0059068F"/>
    <w:rsid w:val="005927C6"/>
    <w:rsid w:val="00595743"/>
    <w:rsid w:val="005A7BA3"/>
    <w:rsid w:val="005B311B"/>
    <w:rsid w:val="005C0760"/>
    <w:rsid w:val="005F00F8"/>
    <w:rsid w:val="005F0B6F"/>
    <w:rsid w:val="0062137F"/>
    <w:rsid w:val="00637F29"/>
    <w:rsid w:val="00640C5A"/>
    <w:rsid w:val="0066279F"/>
    <w:rsid w:val="006A6046"/>
    <w:rsid w:val="006A70D5"/>
    <w:rsid w:val="006B1BE3"/>
    <w:rsid w:val="006D13AB"/>
    <w:rsid w:val="006D5F5C"/>
    <w:rsid w:val="006D7C79"/>
    <w:rsid w:val="006E2421"/>
    <w:rsid w:val="006F5441"/>
    <w:rsid w:val="00722B49"/>
    <w:rsid w:val="0073419E"/>
    <w:rsid w:val="00736F84"/>
    <w:rsid w:val="00743014"/>
    <w:rsid w:val="007466DB"/>
    <w:rsid w:val="0074792A"/>
    <w:rsid w:val="00756B91"/>
    <w:rsid w:val="00763514"/>
    <w:rsid w:val="00783C03"/>
    <w:rsid w:val="007A3421"/>
    <w:rsid w:val="007E167A"/>
    <w:rsid w:val="007E1CAF"/>
    <w:rsid w:val="00810714"/>
    <w:rsid w:val="00823BB2"/>
    <w:rsid w:val="008323B7"/>
    <w:rsid w:val="00853101"/>
    <w:rsid w:val="008551B2"/>
    <w:rsid w:val="0088616A"/>
    <w:rsid w:val="00894AFB"/>
    <w:rsid w:val="008951B6"/>
    <w:rsid w:val="008A019D"/>
    <w:rsid w:val="008B4010"/>
    <w:rsid w:val="008D5CC6"/>
    <w:rsid w:val="00912B60"/>
    <w:rsid w:val="00951FE9"/>
    <w:rsid w:val="009544D1"/>
    <w:rsid w:val="00972C0C"/>
    <w:rsid w:val="00981BAB"/>
    <w:rsid w:val="00991C9D"/>
    <w:rsid w:val="0099610F"/>
    <w:rsid w:val="009F0013"/>
    <w:rsid w:val="00A21B47"/>
    <w:rsid w:val="00A37415"/>
    <w:rsid w:val="00A4171C"/>
    <w:rsid w:val="00A700D3"/>
    <w:rsid w:val="00A7626E"/>
    <w:rsid w:val="00A8480B"/>
    <w:rsid w:val="00A95735"/>
    <w:rsid w:val="00A95D5C"/>
    <w:rsid w:val="00AA7570"/>
    <w:rsid w:val="00AE01DA"/>
    <w:rsid w:val="00AE423F"/>
    <w:rsid w:val="00B07B49"/>
    <w:rsid w:val="00B2475A"/>
    <w:rsid w:val="00B254CE"/>
    <w:rsid w:val="00B314CB"/>
    <w:rsid w:val="00B32EF2"/>
    <w:rsid w:val="00B36767"/>
    <w:rsid w:val="00B44645"/>
    <w:rsid w:val="00B46DA3"/>
    <w:rsid w:val="00B571D4"/>
    <w:rsid w:val="00BA4AA7"/>
    <w:rsid w:val="00BA7D1F"/>
    <w:rsid w:val="00BC12C0"/>
    <w:rsid w:val="00BF34AC"/>
    <w:rsid w:val="00C20D2D"/>
    <w:rsid w:val="00C21151"/>
    <w:rsid w:val="00C23A71"/>
    <w:rsid w:val="00C25F4A"/>
    <w:rsid w:val="00C31CF2"/>
    <w:rsid w:val="00C32C27"/>
    <w:rsid w:val="00C43AB8"/>
    <w:rsid w:val="00C522D8"/>
    <w:rsid w:val="00C566A6"/>
    <w:rsid w:val="00C66CD7"/>
    <w:rsid w:val="00C66EC2"/>
    <w:rsid w:val="00C771EE"/>
    <w:rsid w:val="00C80A8A"/>
    <w:rsid w:val="00C813D9"/>
    <w:rsid w:val="00C82052"/>
    <w:rsid w:val="00C86CEC"/>
    <w:rsid w:val="00CE6548"/>
    <w:rsid w:val="00CF23E3"/>
    <w:rsid w:val="00D07D1B"/>
    <w:rsid w:val="00D1185E"/>
    <w:rsid w:val="00D2602A"/>
    <w:rsid w:val="00D506AA"/>
    <w:rsid w:val="00D5163F"/>
    <w:rsid w:val="00D53F5F"/>
    <w:rsid w:val="00DA40CF"/>
    <w:rsid w:val="00DC444E"/>
    <w:rsid w:val="00DD43F8"/>
    <w:rsid w:val="00DF1B5A"/>
    <w:rsid w:val="00E001D4"/>
    <w:rsid w:val="00E014A4"/>
    <w:rsid w:val="00E17B01"/>
    <w:rsid w:val="00E24E6F"/>
    <w:rsid w:val="00E438CA"/>
    <w:rsid w:val="00E563F2"/>
    <w:rsid w:val="00E61D0E"/>
    <w:rsid w:val="00E66265"/>
    <w:rsid w:val="00E737DD"/>
    <w:rsid w:val="00E73A95"/>
    <w:rsid w:val="00E80457"/>
    <w:rsid w:val="00EE76F3"/>
    <w:rsid w:val="00F14F12"/>
    <w:rsid w:val="00F30745"/>
    <w:rsid w:val="00F37060"/>
    <w:rsid w:val="00F413BA"/>
    <w:rsid w:val="00F47852"/>
    <w:rsid w:val="00F60DF8"/>
    <w:rsid w:val="00F629C9"/>
    <w:rsid w:val="00F83A59"/>
    <w:rsid w:val="00FA1D45"/>
    <w:rsid w:val="00FD06E4"/>
    <w:rsid w:val="00FD1D35"/>
    <w:rsid w:val="082E4CBF"/>
    <w:rsid w:val="0EDF1087"/>
    <w:rsid w:val="19BA3EF6"/>
    <w:rsid w:val="1DD8B667"/>
    <w:rsid w:val="2352718D"/>
    <w:rsid w:val="27B7538C"/>
    <w:rsid w:val="2B3DF9EF"/>
    <w:rsid w:val="2FDAC8F3"/>
    <w:rsid w:val="2FE1A1FB"/>
    <w:rsid w:val="3D999C51"/>
    <w:rsid w:val="462887A9"/>
    <w:rsid w:val="4C28F094"/>
    <w:rsid w:val="58137842"/>
    <w:rsid w:val="5A107007"/>
    <w:rsid w:val="64485C04"/>
    <w:rsid w:val="65337D84"/>
    <w:rsid w:val="67801623"/>
    <w:rsid w:val="69E5F629"/>
    <w:rsid w:val="6B135010"/>
    <w:rsid w:val="7048F3CF"/>
    <w:rsid w:val="72F59C99"/>
    <w:rsid w:val="7D21C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EE0A"/>
  <w15:chartTrackingRefBased/>
  <w15:docId w15:val="{2779D3DD-3061-478C-8ED0-57CB23B6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B44"/>
    <w:pPr>
      <w:spacing w:after="120" w:line="240" w:lineRule="auto"/>
      <w:ind w:left="101" w:right="101"/>
      <w:jc w:val="center"/>
    </w:pPr>
    <w:rPr>
      <w:rFonts w:eastAsia="Candar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7B44"/>
    <w:rPr>
      <w:color w:val="386065"/>
      <w:u w:val="single"/>
    </w:rPr>
  </w:style>
  <w:style w:type="paragraph" w:styleId="NoSpacing">
    <w:name w:val="No Spacing"/>
    <w:uiPriority w:val="1"/>
    <w:qFormat/>
    <w:rsid w:val="001B3393"/>
    <w:pPr>
      <w:spacing w:after="0" w:line="240" w:lineRule="auto"/>
      <w:ind w:left="101" w:right="101"/>
      <w:jc w:val="center"/>
    </w:pPr>
    <w:rPr>
      <w:rFonts w:eastAsia="Candara" w:cs="Times New Roman"/>
      <w:sz w:val="24"/>
      <w:szCs w:val="24"/>
    </w:rPr>
  </w:style>
  <w:style w:type="paragraph" w:styleId="ListParagraph">
    <w:name w:val="List Paragraph"/>
    <w:basedOn w:val="Normal"/>
    <w:uiPriority w:val="34"/>
    <w:qFormat/>
    <w:rsid w:val="001B3393"/>
    <w:pPr>
      <w:spacing w:after="0"/>
      <w:ind w:left="720" w:right="0"/>
      <w:jc w:val="left"/>
    </w:pPr>
    <w:rPr>
      <w:rFonts w:ascii="Calibri" w:eastAsiaTheme="minorHAnsi" w:hAnsi="Calibri" w:cs="Calibri"/>
      <w:sz w:val="22"/>
      <w:szCs w:val="22"/>
    </w:rPr>
  </w:style>
  <w:style w:type="paragraph" w:styleId="HTMLPreformatted">
    <w:name w:val="HTML Preformatted"/>
    <w:basedOn w:val="Normal"/>
    <w:link w:val="HTMLPreformattedChar"/>
    <w:uiPriority w:val="99"/>
    <w:semiHidden/>
    <w:unhideWhenUsed/>
    <w:rsid w:val="0057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574050"/>
    <w:rPr>
      <w:rFonts w:ascii="Courier New" w:hAnsi="Courier New" w:cs="Courier New"/>
      <w:sz w:val="20"/>
      <w:szCs w:val="20"/>
    </w:rPr>
  </w:style>
  <w:style w:type="character" w:styleId="FollowedHyperlink">
    <w:name w:val="FollowedHyperlink"/>
    <w:basedOn w:val="DefaultParagraphFont"/>
    <w:uiPriority w:val="99"/>
    <w:semiHidden/>
    <w:unhideWhenUsed/>
    <w:rsid w:val="006B1BE3"/>
    <w:rPr>
      <w:color w:val="954F72" w:themeColor="followedHyperlink"/>
      <w:u w:val="single"/>
    </w:rPr>
  </w:style>
  <w:style w:type="character" w:styleId="UnresolvedMention">
    <w:name w:val="Unresolved Mention"/>
    <w:basedOn w:val="DefaultParagraphFont"/>
    <w:uiPriority w:val="99"/>
    <w:semiHidden/>
    <w:unhideWhenUsed/>
    <w:rsid w:val="007E167A"/>
    <w:rPr>
      <w:color w:val="605E5C"/>
      <w:shd w:val="clear" w:color="auto" w:fill="E1DFDD"/>
    </w:rPr>
  </w:style>
  <w:style w:type="paragraph" w:styleId="NormalWeb">
    <w:name w:val="Normal (Web)"/>
    <w:basedOn w:val="Normal"/>
    <w:uiPriority w:val="99"/>
    <w:semiHidden/>
    <w:unhideWhenUsed/>
    <w:rsid w:val="005204D9"/>
    <w:pPr>
      <w:spacing w:before="100" w:beforeAutospacing="1" w:after="100" w:afterAutospacing="1"/>
      <w:ind w:left="0" w:right="0"/>
      <w:jc w:val="left"/>
    </w:pPr>
    <w:rPr>
      <w:rFonts w:ascii="Times New Roman" w:eastAsia="Times New Roman" w:hAnsi="Times New Roman"/>
    </w:rPr>
  </w:style>
  <w:style w:type="paragraph" w:customStyle="1" w:styleId="paragraph">
    <w:name w:val="paragraph"/>
    <w:basedOn w:val="Normal"/>
    <w:rsid w:val="00E17B01"/>
    <w:pPr>
      <w:spacing w:before="100" w:beforeAutospacing="1" w:after="100" w:afterAutospacing="1"/>
      <w:ind w:left="0" w:right="0"/>
      <w:jc w:val="left"/>
    </w:pPr>
    <w:rPr>
      <w:rFonts w:ascii="Times New Roman" w:eastAsia="Times New Roman" w:hAnsi="Times New Roman"/>
    </w:rPr>
  </w:style>
  <w:style w:type="character" w:customStyle="1" w:styleId="normaltextrun">
    <w:name w:val="normaltextrun"/>
    <w:basedOn w:val="DefaultParagraphFont"/>
    <w:rsid w:val="00E17B01"/>
  </w:style>
  <w:style w:type="character" w:customStyle="1" w:styleId="eop">
    <w:name w:val="eop"/>
    <w:basedOn w:val="DefaultParagraphFont"/>
    <w:rsid w:val="00E17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00944071">
      <w:bodyDiv w:val="1"/>
      <w:marLeft w:val="0"/>
      <w:marRight w:val="0"/>
      <w:marTop w:val="0"/>
      <w:marBottom w:val="0"/>
      <w:divBdr>
        <w:top w:val="none" w:sz="0" w:space="0" w:color="auto"/>
        <w:left w:val="none" w:sz="0" w:space="0" w:color="auto"/>
        <w:bottom w:val="none" w:sz="0" w:space="0" w:color="auto"/>
        <w:right w:val="none" w:sz="0" w:space="0" w:color="auto"/>
      </w:divBdr>
    </w:div>
    <w:div w:id="251551696">
      <w:bodyDiv w:val="1"/>
      <w:marLeft w:val="0"/>
      <w:marRight w:val="0"/>
      <w:marTop w:val="0"/>
      <w:marBottom w:val="0"/>
      <w:divBdr>
        <w:top w:val="none" w:sz="0" w:space="0" w:color="auto"/>
        <w:left w:val="none" w:sz="0" w:space="0" w:color="auto"/>
        <w:bottom w:val="none" w:sz="0" w:space="0" w:color="auto"/>
        <w:right w:val="none" w:sz="0" w:space="0" w:color="auto"/>
      </w:divBdr>
    </w:div>
    <w:div w:id="495655553">
      <w:bodyDiv w:val="1"/>
      <w:marLeft w:val="0"/>
      <w:marRight w:val="0"/>
      <w:marTop w:val="0"/>
      <w:marBottom w:val="0"/>
      <w:divBdr>
        <w:top w:val="none" w:sz="0" w:space="0" w:color="auto"/>
        <w:left w:val="none" w:sz="0" w:space="0" w:color="auto"/>
        <w:bottom w:val="none" w:sz="0" w:space="0" w:color="auto"/>
        <w:right w:val="none" w:sz="0" w:space="0" w:color="auto"/>
      </w:divBdr>
    </w:div>
    <w:div w:id="601257112">
      <w:bodyDiv w:val="1"/>
      <w:marLeft w:val="0"/>
      <w:marRight w:val="0"/>
      <w:marTop w:val="0"/>
      <w:marBottom w:val="0"/>
      <w:divBdr>
        <w:top w:val="none" w:sz="0" w:space="0" w:color="auto"/>
        <w:left w:val="none" w:sz="0" w:space="0" w:color="auto"/>
        <w:bottom w:val="none" w:sz="0" w:space="0" w:color="auto"/>
        <w:right w:val="none" w:sz="0" w:space="0" w:color="auto"/>
      </w:divBdr>
    </w:div>
    <w:div w:id="640118253">
      <w:bodyDiv w:val="1"/>
      <w:marLeft w:val="0"/>
      <w:marRight w:val="0"/>
      <w:marTop w:val="0"/>
      <w:marBottom w:val="0"/>
      <w:divBdr>
        <w:top w:val="none" w:sz="0" w:space="0" w:color="auto"/>
        <w:left w:val="none" w:sz="0" w:space="0" w:color="auto"/>
        <w:bottom w:val="none" w:sz="0" w:space="0" w:color="auto"/>
        <w:right w:val="none" w:sz="0" w:space="0" w:color="auto"/>
      </w:divBdr>
    </w:div>
    <w:div w:id="717507584">
      <w:bodyDiv w:val="1"/>
      <w:marLeft w:val="0"/>
      <w:marRight w:val="0"/>
      <w:marTop w:val="0"/>
      <w:marBottom w:val="0"/>
      <w:divBdr>
        <w:top w:val="none" w:sz="0" w:space="0" w:color="auto"/>
        <w:left w:val="none" w:sz="0" w:space="0" w:color="auto"/>
        <w:bottom w:val="none" w:sz="0" w:space="0" w:color="auto"/>
        <w:right w:val="none" w:sz="0" w:space="0" w:color="auto"/>
      </w:divBdr>
      <w:divsChild>
        <w:div w:id="1887989354">
          <w:marLeft w:val="0"/>
          <w:marRight w:val="0"/>
          <w:marTop w:val="0"/>
          <w:marBottom w:val="0"/>
          <w:divBdr>
            <w:top w:val="none" w:sz="0" w:space="0" w:color="auto"/>
            <w:left w:val="none" w:sz="0" w:space="0" w:color="auto"/>
            <w:bottom w:val="none" w:sz="0" w:space="0" w:color="auto"/>
            <w:right w:val="none" w:sz="0" w:space="0" w:color="auto"/>
          </w:divBdr>
        </w:div>
        <w:div w:id="1852529502">
          <w:marLeft w:val="0"/>
          <w:marRight w:val="0"/>
          <w:marTop w:val="0"/>
          <w:marBottom w:val="0"/>
          <w:divBdr>
            <w:top w:val="none" w:sz="0" w:space="0" w:color="auto"/>
            <w:left w:val="none" w:sz="0" w:space="0" w:color="auto"/>
            <w:bottom w:val="none" w:sz="0" w:space="0" w:color="auto"/>
            <w:right w:val="none" w:sz="0" w:space="0" w:color="auto"/>
          </w:divBdr>
        </w:div>
        <w:div w:id="1326519752">
          <w:marLeft w:val="0"/>
          <w:marRight w:val="0"/>
          <w:marTop w:val="0"/>
          <w:marBottom w:val="0"/>
          <w:divBdr>
            <w:top w:val="none" w:sz="0" w:space="0" w:color="auto"/>
            <w:left w:val="none" w:sz="0" w:space="0" w:color="auto"/>
            <w:bottom w:val="none" w:sz="0" w:space="0" w:color="auto"/>
            <w:right w:val="none" w:sz="0" w:space="0" w:color="auto"/>
          </w:divBdr>
        </w:div>
      </w:divsChild>
    </w:div>
    <w:div w:id="807238840">
      <w:bodyDiv w:val="1"/>
      <w:marLeft w:val="0"/>
      <w:marRight w:val="0"/>
      <w:marTop w:val="0"/>
      <w:marBottom w:val="0"/>
      <w:divBdr>
        <w:top w:val="none" w:sz="0" w:space="0" w:color="auto"/>
        <w:left w:val="none" w:sz="0" w:space="0" w:color="auto"/>
        <w:bottom w:val="none" w:sz="0" w:space="0" w:color="auto"/>
        <w:right w:val="none" w:sz="0" w:space="0" w:color="auto"/>
      </w:divBdr>
    </w:div>
    <w:div w:id="864565422">
      <w:bodyDiv w:val="1"/>
      <w:marLeft w:val="0"/>
      <w:marRight w:val="0"/>
      <w:marTop w:val="0"/>
      <w:marBottom w:val="0"/>
      <w:divBdr>
        <w:top w:val="none" w:sz="0" w:space="0" w:color="auto"/>
        <w:left w:val="none" w:sz="0" w:space="0" w:color="auto"/>
        <w:bottom w:val="none" w:sz="0" w:space="0" w:color="auto"/>
        <w:right w:val="none" w:sz="0" w:space="0" w:color="auto"/>
      </w:divBdr>
    </w:div>
    <w:div w:id="958529977">
      <w:bodyDiv w:val="1"/>
      <w:marLeft w:val="0"/>
      <w:marRight w:val="0"/>
      <w:marTop w:val="0"/>
      <w:marBottom w:val="0"/>
      <w:divBdr>
        <w:top w:val="none" w:sz="0" w:space="0" w:color="auto"/>
        <w:left w:val="none" w:sz="0" w:space="0" w:color="auto"/>
        <w:bottom w:val="none" w:sz="0" w:space="0" w:color="auto"/>
        <w:right w:val="none" w:sz="0" w:space="0" w:color="auto"/>
      </w:divBdr>
    </w:div>
    <w:div w:id="1008823797">
      <w:bodyDiv w:val="1"/>
      <w:marLeft w:val="0"/>
      <w:marRight w:val="0"/>
      <w:marTop w:val="0"/>
      <w:marBottom w:val="0"/>
      <w:divBdr>
        <w:top w:val="none" w:sz="0" w:space="0" w:color="auto"/>
        <w:left w:val="none" w:sz="0" w:space="0" w:color="auto"/>
        <w:bottom w:val="none" w:sz="0" w:space="0" w:color="auto"/>
        <w:right w:val="none" w:sz="0" w:space="0" w:color="auto"/>
      </w:divBdr>
    </w:div>
    <w:div w:id="1023366438">
      <w:bodyDiv w:val="1"/>
      <w:marLeft w:val="0"/>
      <w:marRight w:val="0"/>
      <w:marTop w:val="0"/>
      <w:marBottom w:val="0"/>
      <w:divBdr>
        <w:top w:val="none" w:sz="0" w:space="0" w:color="auto"/>
        <w:left w:val="none" w:sz="0" w:space="0" w:color="auto"/>
        <w:bottom w:val="none" w:sz="0" w:space="0" w:color="auto"/>
        <w:right w:val="none" w:sz="0" w:space="0" w:color="auto"/>
      </w:divBdr>
      <w:divsChild>
        <w:div w:id="1509364949">
          <w:marLeft w:val="0"/>
          <w:marRight w:val="0"/>
          <w:marTop w:val="0"/>
          <w:marBottom w:val="0"/>
          <w:divBdr>
            <w:top w:val="none" w:sz="0" w:space="0" w:color="auto"/>
            <w:left w:val="none" w:sz="0" w:space="0" w:color="auto"/>
            <w:bottom w:val="none" w:sz="0" w:space="0" w:color="auto"/>
            <w:right w:val="none" w:sz="0" w:space="0" w:color="auto"/>
          </w:divBdr>
          <w:divsChild>
            <w:div w:id="560097967">
              <w:marLeft w:val="0"/>
              <w:marRight w:val="0"/>
              <w:marTop w:val="0"/>
              <w:marBottom w:val="0"/>
              <w:divBdr>
                <w:top w:val="none" w:sz="0" w:space="0" w:color="auto"/>
                <w:left w:val="none" w:sz="0" w:space="0" w:color="auto"/>
                <w:bottom w:val="none" w:sz="0" w:space="0" w:color="auto"/>
                <w:right w:val="none" w:sz="0" w:space="0" w:color="auto"/>
              </w:divBdr>
              <w:divsChild>
                <w:div w:id="1868911439">
                  <w:marLeft w:val="0"/>
                  <w:marRight w:val="0"/>
                  <w:marTop w:val="0"/>
                  <w:marBottom w:val="0"/>
                  <w:divBdr>
                    <w:top w:val="none" w:sz="0" w:space="0" w:color="auto"/>
                    <w:left w:val="none" w:sz="0" w:space="0" w:color="auto"/>
                    <w:bottom w:val="none" w:sz="0" w:space="0" w:color="auto"/>
                    <w:right w:val="none" w:sz="0" w:space="0" w:color="auto"/>
                  </w:divBdr>
                  <w:divsChild>
                    <w:div w:id="1793592434">
                      <w:marLeft w:val="0"/>
                      <w:marRight w:val="0"/>
                      <w:marTop w:val="0"/>
                      <w:marBottom w:val="0"/>
                      <w:divBdr>
                        <w:top w:val="none" w:sz="0" w:space="0" w:color="auto"/>
                        <w:left w:val="none" w:sz="0" w:space="0" w:color="auto"/>
                        <w:bottom w:val="none" w:sz="0" w:space="0" w:color="auto"/>
                        <w:right w:val="none" w:sz="0" w:space="0" w:color="auto"/>
                      </w:divBdr>
                      <w:divsChild>
                        <w:div w:id="234509711">
                          <w:marLeft w:val="0"/>
                          <w:marRight w:val="0"/>
                          <w:marTop w:val="0"/>
                          <w:marBottom w:val="0"/>
                          <w:divBdr>
                            <w:top w:val="none" w:sz="0" w:space="0" w:color="auto"/>
                            <w:left w:val="none" w:sz="0" w:space="0" w:color="auto"/>
                            <w:bottom w:val="none" w:sz="0" w:space="0" w:color="auto"/>
                            <w:right w:val="none" w:sz="0" w:space="0" w:color="auto"/>
                          </w:divBdr>
                          <w:divsChild>
                            <w:div w:id="1967588860">
                              <w:marLeft w:val="0"/>
                              <w:marRight w:val="0"/>
                              <w:marTop w:val="0"/>
                              <w:marBottom w:val="0"/>
                              <w:divBdr>
                                <w:top w:val="none" w:sz="0" w:space="0" w:color="auto"/>
                                <w:left w:val="none" w:sz="0" w:space="0" w:color="auto"/>
                                <w:bottom w:val="none" w:sz="0" w:space="0" w:color="auto"/>
                                <w:right w:val="none" w:sz="0" w:space="0" w:color="auto"/>
                              </w:divBdr>
                              <w:divsChild>
                                <w:div w:id="457652458">
                                  <w:marLeft w:val="0"/>
                                  <w:marRight w:val="0"/>
                                  <w:marTop w:val="0"/>
                                  <w:marBottom w:val="0"/>
                                  <w:divBdr>
                                    <w:top w:val="none" w:sz="0" w:space="0" w:color="auto"/>
                                    <w:left w:val="none" w:sz="0" w:space="0" w:color="auto"/>
                                    <w:bottom w:val="none" w:sz="0" w:space="0" w:color="auto"/>
                                    <w:right w:val="none" w:sz="0" w:space="0" w:color="auto"/>
                                  </w:divBdr>
                                  <w:divsChild>
                                    <w:div w:id="11868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1247">
      <w:bodyDiv w:val="1"/>
      <w:marLeft w:val="0"/>
      <w:marRight w:val="0"/>
      <w:marTop w:val="0"/>
      <w:marBottom w:val="0"/>
      <w:divBdr>
        <w:top w:val="none" w:sz="0" w:space="0" w:color="auto"/>
        <w:left w:val="none" w:sz="0" w:space="0" w:color="auto"/>
        <w:bottom w:val="none" w:sz="0" w:space="0" w:color="auto"/>
        <w:right w:val="none" w:sz="0" w:space="0" w:color="auto"/>
      </w:divBdr>
    </w:div>
    <w:div w:id="1203399937">
      <w:bodyDiv w:val="1"/>
      <w:marLeft w:val="0"/>
      <w:marRight w:val="0"/>
      <w:marTop w:val="0"/>
      <w:marBottom w:val="0"/>
      <w:divBdr>
        <w:top w:val="none" w:sz="0" w:space="0" w:color="auto"/>
        <w:left w:val="none" w:sz="0" w:space="0" w:color="auto"/>
        <w:bottom w:val="none" w:sz="0" w:space="0" w:color="auto"/>
        <w:right w:val="none" w:sz="0" w:space="0" w:color="auto"/>
      </w:divBdr>
    </w:div>
    <w:div w:id="1242371823">
      <w:bodyDiv w:val="1"/>
      <w:marLeft w:val="0"/>
      <w:marRight w:val="0"/>
      <w:marTop w:val="0"/>
      <w:marBottom w:val="0"/>
      <w:divBdr>
        <w:top w:val="none" w:sz="0" w:space="0" w:color="auto"/>
        <w:left w:val="none" w:sz="0" w:space="0" w:color="auto"/>
        <w:bottom w:val="none" w:sz="0" w:space="0" w:color="auto"/>
        <w:right w:val="none" w:sz="0" w:space="0" w:color="auto"/>
      </w:divBdr>
    </w:div>
    <w:div w:id="1434134141">
      <w:bodyDiv w:val="1"/>
      <w:marLeft w:val="0"/>
      <w:marRight w:val="0"/>
      <w:marTop w:val="0"/>
      <w:marBottom w:val="0"/>
      <w:divBdr>
        <w:top w:val="none" w:sz="0" w:space="0" w:color="auto"/>
        <w:left w:val="none" w:sz="0" w:space="0" w:color="auto"/>
        <w:bottom w:val="none" w:sz="0" w:space="0" w:color="auto"/>
        <w:right w:val="none" w:sz="0" w:space="0" w:color="auto"/>
      </w:divBdr>
    </w:div>
    <w:div w:id="1651321998">
      <w:bodyDiv w:val="1"/>
      <w:marLeft w:val="0"/>
      <w:marRight w:val="0"/>
      <w:marTop w:val="0"/>
      <w:marBottom w:val="0"/>
      <w:divBdr>
        <w:top w:val="none" w:sz="0" w:space="0" w:color="auto"/>
        <w:left w:val="none" w:sz="0" w:space="0" w:color="auto"/>
        <w:bottom w:val="none" w:sz="0" w:space="0" w:color="auto"/>
        <w:right w:val="none" w:sz="0" w:space="0" w:color="auto"/>
      </w:divBdr>
    </w:div>
    <w:div w:id="1747070990">
      <w:bodyDiv w:val="1"/>
      <w:marLeft w:val="0"/>
      <w:marRight w:val="0"/>
      <w:marTop w:val="0"/>
      <w:marBottom w:val="0"/>
      <w:divBdr>
        <w:top w:val="none" w:sz="0" w:space="0" w:color="auto"/>
        <w:left w:val="none" w:sz="0" w:space="0" w:color="auto"/>
        <w:bottom w:val="none" w:sz="0" w:space="0" w:color="auto"/>
        <w:right w:val="none" w:sz="0" w:space="0" w:color="auto"/>
      </w:divBdr>
    </w:div>
    <w:div w:id="1849976466">
      <w:bodyDiv w:val="1"/>
      <w:marLeft w:val="0"/>
      <w:marRight w:val="0"/>
      <w:marTop w:val="0"/>
      <w:marBottom w:val="0"/>
      <w:divBdr>
        <w:top w:val="none" w:sz="0" w:space="0" w:color="auto"/>
        <w:left w:val="none" w:sz="0" w:space="0" w:color="auto"/>
        <w:bottom w:val="none" w:sz="0" w:space="0" w:color="auto"/>
        <w:right w:val="none" w:sz="0" w:space="0" w:color="auto"/>
      </w:divBdr>
    </w:div>
    <w:div w:id="1882400341">
      <w:bodyDiv w:val="1"/>
      <w:marLeft w:val="0"/>
      <w:marRight w:val="0"/>
      <w:marTop w:val="0"/>
      <w:marBottom w:val="0"/>
      <w:divBdr>
        <w:top w:val="none" w:sz="0" w:space="0" w:color="auto"/>
        <w:left w:val="none" w:sz="0" w:space="0" w:color="auto"/>
        <w:bottom w:val="none" w:sz="0" w:space="0" w:color="auto"/>
        <w:right w:val="none" w:sz="0" w:space="0" w:color="auto"/>
      </w:divBdr>
    </w:div>
    <w:div w:id="1893807399">
      <w:bodyDiv w:val="1"/>
      <w:marLeft w:val="0"/>
      <w:marRight w:val="0"/>
      <w:marTop w:val="0"/>
      <w:marBottom w:val="0"/>
      <w:divBdr>
        <w:top w:val="none" w:sz="0" w:space="0" w:color="auto"/>
        <w:left w:val="none" w:sz="0" w:space="0" w:color="auto"/>
        <w:bottom w:val="none" w:sz="0" w:space="0" w:color="auto"/>
        <w:right w:val="none" w:sz="0" w:space="0" w:color="auto"/>
      </w:divBdr>
    </w:div>
    <w:div w:id="1936211832">
      <w:bodyDiv w:val="1"/>
      <w:marLeft w:val="0"/>
      <w:marRight w:val="0"/>
      <w:marTop w:val="0"/>
      <w:marBottom w:val="0"/>
      <w:divBdr>
        <w:top w:val="none" w:sz="0" w:space="0" w:color="auto"/>
        <w:left w:val="none" w:sz="0" w:space="0" w:color="auto"/>
        <w:bottom w:val="none" w:sz="0" w:space="0" w:color="auto"/>
        <w:right w:val="none" w:sz="0" w:space="0" w:color="auto"/>
      </w:divBdr>
      <w:divsChild>
        <w:div w:id="1828210194">
          <w:marLeft w:val="0"/>
          <w:marRight w:val="0"/>
          <w:marTop w:val="0"/>
          <w:marBottom w:val="0"/>
          <w:divBdr>
            <w:top w:val="none" w:sz="0" w:space="0" w:color="auto"/>
            <w:left w:val="none" w:sz="0" w:space="0" w:color="auto"/>
            <w:bottom w:val="none" w:sz="0" w:space="0" w:color="auto"/>
            <w:right w:val="none" w:sz="0" w:space="0" w:color="auto"/>
          </w:divBdr>
        </w:div>
        <w:div w:id="1025056573">
          <w:marLeft w:val="0"/>
          <w:marRight w:val="0"/>
          <w:marTop w:val="0"/>
          <w:marBottom w:val="0"/>
          <w:divBdr>
            <w:top w:val="none" w:sz="0" w:space="0" w:color="auto"/>
            <w:left w:val="none" w:sz="0" w:space="0" w:color="auto"/>
            <w:bottom w:val="none" w:sz="0" w:space="0" w:color="auto"/>
            <w:right w:val="none" w:sz="0" w:space="0" w:color="auto"/>
          </w:divBdr>
        </w:div>
      </w:divsChild>
    </w:div>
    <w:div w:id="1982227277">
      <w:bodyDiv w:val="1"/>
      <w:marLeft w:val="0"/>
      <w:marRight w:val="0"/>
      <w:marTop w:val="0"/>
      <w:marBottom w:val="0"/>
      <w:divBdr>
        <w:top w:val="none" w:sz="0" w:space="0" w:color="auto"/>
        <w:left w:val="none" w:sz="0" w:space="0" w:color="auto"/>
        <w:bottom w:val="none" w:sz="0" w:space="0" w:color="auto"/>
        <w:right w:val="none" w:sz="0" w:space="0" w:color="auto"/>
      </w:divBdr>
    </w:div>
    <w:div w:id="2089182631">
      <w:bodyDiv w:val="1"/>
      <w:marLeft w:val="0"/>
      <w:marRight w:val="0"/>
      <w:marTop w:val="0"/>
      <w:marBottom w:val="0"/>
      <w:divBdr>
        <w:top w:val="none" w:sz="0" w:space="0" w:color="auto"/>
        <w:left w:val="none" w:sz="0" w:space="0" w:color="auto"/>
        <w:bottom w:val="none" w:sz="0" w:space="0" w:color="auto"/>
        <w:right w:val="none" w:sz="0" w:space="0" w:color="auto"/>
      </w:divBdr>
    </w:div>
    <w:div w:id="21388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hs.gov/privacy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cid:image002.jpg@01D42E6A.6EF75120" TargetMode="External"/><Relationship Id="rId5" Type="http://schemas.openxmlformats.org/officeDocument/2006/relationships/numbering" Target="numbering.xml"/><Relationship Id="rId15" Type="http://schemas.openxmlformats.org/officeDocument/2006/relationships/hyperlink" Target="mailto:echo@npaihb.or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surveymonkey.com/mp/policy/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413197-23cb-4fa6-977e-15613d1a8345">
      <Terms xmlns="http://schemas.microsoft.com/office/infopath/2007/PartnerControls"/>
    </lcf76f155ced4ddcb4097134ff3c332f>
    <TaxCatchAll xmlns="b159b254-6d57-44a0-b030-b506957ed4c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0AD919A4DF3548A7154F4200ACB4B5" ma:contentTypeVersion="16" ma:contentTypeDescription="Create a new document." ma:contentTypeScope="" ma:versionID="54cbabf1a25a9d5a0f6dde4b1d3e98e0">
  <xsd:schema xmlns:xsd="http://www.w3.org/2001/XMLSchema" xmlns:xs="http://www.w3.org/2001/XMLSchema" xmlns:p="http://schemas.microsoft.com/office/2006/metadata/properties" xmlns:ns1="http://schemas.microsoft.com/sharepoint/v3" xmlns:ns2="30413197-23cb-4fa6-977e-15613d1a8345" xmlns:ns3="b159b254-6d57-44a0-b030-b506957ed4c0" targetNamespace="http://schemas.microsoft.com/office/2006/metadata/properties" ma:root="true" ma:fieldsID="5d3f380157d595ad107f81302ffddca7" ns1:_="" ns2:_="" ns3:_="">
    <xsd:import namespace="http://schemas.microsoft.com/sharepoint/v3"/>
    <xsd:import namespace="30413197-23cb-4fa6-977e-15613d1a8345"/>
    <xsd:import namespace="b159b254-6d57-44a0-b030-b506957ed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413197-23cb-4fa6-977e-15613d1a8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83da4f-4d6a-43ba-aa09-ce86d4899de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9b254-6d57-44a0-b030-b506957ed4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8584a6-754b-4508-89c5-0ab0b4ff32a2}" ma:internalName="TaxCatchAll" ma:showField="CatchAllData" ma:web="b159b254-6d57-44a0-b030-b506957ed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2B8A8-67D9-4F2D-B789-5E5C8BD7529E}">
  <ds:schemaRefs>
    <ds:schemaRef ds:uri="http://schemas.microsoft.com/office/2006/metadata/properties"/>
    <ds:schemaRef ds:uri="http://schemas.microsoft.com/office/infopath/2007/PartnerControls"/>
    <ds:schemaRef ds:uri="30413197-23cb-4fa6-977e-15613d1a8345"/>
    <ds:schemaRef ds:uri="b159b254-6d57-44a0-b030-b506957ed4c0"/>
    <ds:schemaRef ds:uri="http://schemas.microsoft.com/sharepoint/v3"/>
  </ds:schemaRefs>
</ds:datastoreItem>
</file>

<file path=customXml/itemProps2.xml><?xml version="1.0" encoding="utf-8"?>
<ds:datastoreItem xmlns:ds="http://schemas.openxmlformats.org/officeDocument/2006/customXml" ds:itemID="{633CCC43-73FA-4DC8-8CD7-97343C048837}">
  <ds:schemaRefs>
    <ds:schemaRef ds:uri="http://schemas.microsoft.com/sharepoint/v3/contenttype/forms"/>
  </ds:schemaRefs>
</ds:datastoreItem>
</file>

<file path=customXml/itemProps3.xml><?xml version="1.0" encoding="utf-8"?>
<ds:datastoreItem xmlns:ds="http://schemas.openxmlformats.org/officeDocument/2006/customXml" ds:itemID="{C550E8A8-FF99-4ABB-86E7-15B66D18F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413197-23cb-4fa6-977e-15613d1a8345"/>
    <ds:schemaRef ds:uri="b159b254-6d57-44a0-b030-b506957e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06B052-740E-F547-A61E-2E45E7E1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Becenti, Alberta (IHS/HQ)</dc:creator>
  <cp:keywords/>
  <dc:description/>
  <cp:lastModifiedBy>Cushman, Nicholas</cp:lastModifiedBy>
  <cp:revision>2</cp:revision>
  <cp:lastPrinted>2024-04-23T04:13:00Z</cp:lastPrinted>
  <dcterms:created xsi:type="dcterms:W3CDTF">2026-07-08T19:54:00Z</dcterms:created>
  <dcterms:modified xsi:type="dcterms:W3CDTF">2026-07-08T19:54:00Z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0x0101006B0AD919A4DF3548A7154F4200ACB4B5</vt:lpwstr>
  </property>
  <property fmtid="{D5CDD505-2E9C-101B-9397-08002B2CF9AE}" pid="3" name="MediaServiceImageTags">
    <vt:lpwstr/>
  </property>
</Properties>
</file>