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42A79C9C" w14:textId="2EBC8D60" w:rsidR="7862ED9E" w:rsidRDefault="009D63C0" w:rsidP="66F5E5D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Pr>
          <w:rFonts w:ascii="Calibri" w:eastAsia="Calibri" w:hAnsi="Calibri"/>
          <w:b/>
          <w:bCs/>
          <w:sz w:val="32"/>
          <w:szCs w:val="32"/>
        </w:rPr>
        <w:t>Clinical Decision-Making for Insulin Pump Use</w:t>
      </w:r>
    </w:p>
    <w:p w14:paraId="0CE26355" w14:textId="17567F82" w:rsidR="006B1BE3" w:rsidRPr="006B1BE3" w:rsidRDefault="009D63C0"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Thursday</w:t>
      </w:r>
      <w:r w:rsidR="00735905"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January</w:t>
      </w:r>
      <w:r w:rsidR="16677964"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8</w:t>
      </w:r>
      <w:r w:rsidR="00735905" w:rsidRPr="00735905">
        <w:rPr>
          <w:rFonts w:ascii="Calibri" w:eastAsia="Calibri" w:hAnsi="Calibri" w:cs="Calibri"/>
          <w:b/>
          <w:bCs/>
          <w:color w:val="000000"/>
          <w:kern w:val="28"/>
          <w:sz w:val="26"/>
          <w:szCs w:val="26"/>
          <w14:cntxtAlts/>
        </w:rPr>
        <w:t>, 202</w:t>
      </w:r>
      <w:r w:rsidR="00A712FF">
        <w:rPr>
          <w:rFonts w:ascii="Calibri" w:eastAsia="Calibri" w:hAnsi="Calibri" w:cs="Calibri"/>
          <w:b/>
          <w:bCs/>
          <w:color w:val="000000"/>
          <w:kern w:val="28"/>
          <w:sz w:val="26"/>
          <w:szCs w:val="26"/>
          <w14:cntxtAlts/>
        </w:rPr>
        <w:t>6</w:t>
      </w:r>
      <w:r w:rsidR="00B07B49" w:rsidRPr="00735905">
        <w:rPr>
          <w:rFonts w:ascii="Calibri" w:eastAsia="Calibri" w:hAnsi="Calibri" w:cs="Calibri"/>
          <w:b/>
          <w:bCs/>
          <w:color w:val="000000"/>
          <w:kern w:val="28"/>
          <w:sz w:val="26"/>
          <w:szCs w:val="26"/>
          <w14:cntxtAlts/>
        </w:rPr>
        <w:t xml:space="preserve">│ </w:t>
      </w:r>
      <w:r w:rsidR="00735905" w:rsidRPr="00735905">
        <w:rPr>
          <w:rFonts w:ascii="Calibri" w:eastAsia="Calibri" w:hAnsi="Calibri" w:cs="Calibri"/>
          <w:b/>
          <w:bCs/>
          <w:color w:val="000000"/>
          <w:kern w:val="28"/>
          <w:sz w:val="26"/>
          <w:szCs w:val="26"/>
          <w14:cntxtAlts/>
        </w:rPr>
        <w:t>1</w:t>
      </w:r>
      <w:r w:rsidR="0022243F">
        <w:rPr>
          <w:rFonts w:ascii="Calibri" w:eastAsia="Calibri" w:hAnsi="Calibri" w:cs="Calibri"/>
          <w:b/>
          <w:bCs/>
          <w:color w:val="000000"/>
          <w:kern w:val="28"/>
          <w:sz w:val="26"/>
          <w:szCs w:val="26"/>
          <w14:cntxtAlts/>
        </w:rPr>
        <w:t>2p</w:t>
      </w:r>
      <w:r w:rsidR="00735905" w:rsidRPr="00735905">
        <w:rPr>
          <w:rFonts w:ascii="Calibri" w:eastAsia="Calibri" w:hAnsi="Calibri" w:cs="Calibri"/>
          <w:b/>
          <w:bCs/>
          <w:color w:val="000000"/>
          <w:kern w:val="28"/>
          <w:sz w:val="26"/>
          <w:szCs w:val="26"/>
          <w14:cntxtAlts/>
        </w:rPr>
        <w:t>m – 1</w:t>
      </w:r>
      <w:r w:rsidR="0022243F">
        <w:rPr>
          <w:rFonts w:ascii="Calibri" w:eastAsia="Calibri" w:hAnsi="Calibri" w:cs="Calibri"/>
          <w:b/>
          <w:bCs/>
          <w:color w:val="000000"/>
          <w:kern w:val="28"/>
          <w:sz w:val="26"/>
          <w:szCs w:val="26"/>
          <w14:cntxtAlts/>
        </w:rPr>
        <w:t>p</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74291334"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3A7512" w:rsidRPr="003F6EE1">
          <w:rPr>
            <w:rStyle w:val="Hyperlink"/>
            <w:rFonts w:ascii="Calibri" w:eastAsia="Times New Roman" w:hAnsi="Calibri" w:cs="Calibri"/>
            <w:bCs/>
            <w:sz w:val="20"/>
            <w:szCs w:val="20"/>
          </w:rPr>
          <w:t>https://us06web.zoom.us/j/82065903350?pwd=sTGckyMGQdX3ni6TOvwGNASA88ukI8.1</w:t>
        </w:r>
      </w:hyperlink>
      <w:r w:rsidR="003A7512">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341716E6" w14:textId="0BAADC7C" w:rsidR="007E1CAF" w:rsidRDefault="006B1BE3" w:rsidP="00267BFF">
      <w:pPr>
        <w:shd w:val="clear" w:color="auto" w:fill="FFFFFF" w:themeFill="background1"/>
        <w:spacing w:after="0"/>
        <w:ind w:left="1440" w:right="0" w:hanging="1440"/>
        <w:jc w:val="left"/>
        <w:rPr>
          <w:rFonts w:ascii="Calibri" w:eastAsia="Times New Roman" w:hAnsi="Calibri" w:cs="Calibri"/>
          <w:sz w:val="20"/>
          <w:szCs w:val="20"/>
        </w:rPr>
      </w:pPr>
      <w:r w:rsidRPr="66F5E5D4">
        <w:rPr>
          <w:rFonts w:ascii="Calibri" w:eastAsia="Times New Roman" w:hAnsi="Calibri" w:cs="Calibri"/>
          <w:b/>
          <w:bCs/>
          <w:sz w:val="20"/>
          <w:szCs w:val="20"/>
        </w:rPr>
        <w:t>Presenters:</w:t>
      </w:r>
      <w:r w:rsidR="00267BFF">
        <w:rPr>
          <w:rFonts w:ascii="Calibri" w:eastAsia="Times New Roman" w:hAnsi="Calibri" w:cs="Calibri"/>
          <w:b/>
          <w:bCs/>
          <w:sz w:val="20"/>
          <w:szCs w:val="20"/>
        </w:rPr>
        <w:t xml:space="preserve"> </w:t>
      </w:r>
      <w:r w:rsidR="009828E0">
        <w:rPr>
          <w:rFonts w:ascii="Calibri" w:eastAsia="Times New Roman" w:hAnsi="Calibri" w:cs="Calibri"/>
          <w:sz w:val="20"/>
          <w:szCs w:val="20"/>
        </w:rPr>
        <w:tab/>
      </w:r>
      <w:r w:rsidR="000276AE" w:rsidRPr="000276AE">
        <w:rPr>
          <w:rFonts w:ascii="Calibri" w:eastAsia="Times New Roman" w:hAnsi="Calibri" w:cs="Calibri"/>
          <w:sz w:val="20"/>
          <w:szCs w:val="20"/>
        </w:rPr>
        <w:t>Dr. Mary Carol Greenlee, MD | Consultan</w:t>
      </w:r>
      <w:r w:rsidR="009D63C0">
        <w:rPr>
          <w:rFonts w:ascii="Calibri" w:eastAsia="Times New Roman" w:hAnsi="Calibri" w:cs="Calibri"/>
          <w:sz w:val="20"/>
          <w:szCs w:val="20"/>
        </w:rPr>
        <w:t>t, NPAIHB</w:t>
      </w:r>
    </w:p>
    <w:p w14:paraId="684DE912" w14:textId="2C2E3D4D" w:rsidR="009D63C0" w:rsidRPr="009D63C0" w:rsidRDefault="009D63C0" w:rsidP="00267BFF">
      <w:pPr>
        <w:shd w:val="clear" w:color="auto" w:fill="FFFFFF" w:themeFill="background1"/>
        <w:spacing w:after="0"/>
        <w:ind w:left="1440" w:right="0" w:hanging="1440"/>
        <w:jc w:val="left"/>
        <w:rPr>
          <w:rFonts w:ascii="Calibri" w:eastAsia="Times New Roman" w:hAnsi="Calibri" w:cs="Calibri"/>
          <w:sz w:val="20"/>
          <w:szCs w:val="20"/>
        </w:rPr>
      </w:pPr>
      <w:r>
        <w:rPr>
          <w:rFonts w:ascii="Calibri" w:eastAsia="Times New Roman" w:hAnsi="Calibri" w:cs="Calibri"/>
          <w:sz w:val="20"/>
          <w:szCs w:val="20"/>
        </w:rPr>
        <w:t xml:space="preserve">Robin John, </w:t>
      </w:r>
      <w:r w:rsidRPr="009D63C0">
        <w:rPr>
          <w:rFonts w:ascii="Calibri" w:eastAsia="Times New Roman" w:hAnsi="Calibri" w:cs="Calibri"/>
          <w:sz w:val="20"/>
          <w:szCs w:val="20"/>
        </w:rPr>
        <w:t>RPh, CDE, NCPS</w:t>
      </w:r>
      <w:r>
        <w:rPr>
          <w:rFonts w:ascii="Calibri" w:eastAsia="Times New Roman" w:hAnsi="Calibri" w:cs="Calibri"/>
          <w:sz w:val="20"/>
          <w:szCs w:val="20"/>
        </w:rPr>
        <w:t xml:space="preserve"> | Pharmacist, Yakama</w:t>
      </w:r>
      <w:r w:rsidR="00554AD8">
        <w:rPr>
          <w:rFonts w:ascii="Calibri" w:eastAsia="Times New Roman" w:hAnsi="Calibri" w:cs="Calibri"/>
          <w:sz w:val="20"/>
          <w:szCs w:val="20"/>
        </w:rPr>
        <w:t xml:space="preserve"> </w:t>
      </w:r>
      <w:r w:rsidR="00554AD8" w:rsidRPr="00554AD8">
        <w:rPr>
          <w:rFonts w:ascii="Calibri" w:eastAsia="Times New Roman" w:hAnsi="Calibri" w:cs="Calibri"/>
          <w:sz w:val="20"/>
          <w:szCs w:val="20"/>
        </w:rPr>
        <w:t>Service Unit</w:t>
      </w:r>
    </w:p>
    <w:p w14:paraId="4230FADD" w14:textId="77777777" w:rsidR="00267BFF" w:rsidRPr="00B67677" w:rsidRDefault="00267BFF" w:rsidP="00267BFF">
      <w:pPr>
        <w:shd w:val="clear" w:color="auto" w:fill="FFFFFF" w:themeFill="background1"/>
        <w:spacing w:after="0"/>
        <w:ind w:left="1440" w:right="0" w:hanging="1440"/>
        <w:jc w:val="left"/>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Jessica </w:t>
      </w:r>
      <w:proofErr w:type="spellStart"/>
      <w:r w:rsidRPr="00B67677">
        <w:rPr>
          <w:rFonts w:eastAsia="Times New Roman"/>
          <w:sz w:val="20"/>
          <w:szCs w:val="20"/>
        </w:rPr>
        <w:t>Reinstra</w:t>
      </w:r>
      <w:proofErr w:type="spellEnd"/>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66F5E5D4">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12F5A774" w14:textId="3FB8B120" w:rsidR="009D63C0" w:rsidRDefault="009D63C0" w:rsidP="66F5E5D4">
      <w:pPr>
        <w:spacing w:after="0"/>
        <w:ind w:left="0"/>
        <w:contextualSpacing/>
        <w:jc w:val="left"/>
        <w:rPr>
          <w:sz w:val="20"/>
          <w:szCs w:val="20"/>
        </w:rPr>
      </w:pPr>
      <w:r w:rsidRPr="009D63C0">
        <w:rPr>
          <w:sz w:val="20"/>
          <w:szCs w:val="20"/>
        </w:rPr>
        <w:t xml:space="preserve">In this presentation, </w:t>
      </w:r>
      <w:r>
        <w:rPr>
          <w:sz w:val="20"/>
          <w:szCs w:val="20"/>
        </w:rPr>
        <w:t>the presenters</w:t>
      </w:r>
      <w:r w:rsidRPr="009D63C0">
        <w:rPr>
          <w:sz w:val="20"/>
          <w:szCs w:val="20"/>
        </w:rPr>
        <w:t xml:space="preserve"> will review key clinical considerations for insulin pump use in people with type 2 diabetes, focusing on </w:t>
      </w:r>
      <w:r>
        <w:rPr>
          <w:sz w:val="20"/>
          <w:szCs w:val="20"/>
        </w:rPr>
        <w:t xml:space="preserve">a </w:t>
      </w:r>
      <w:r w:rsidRPr="009D63C0">
        <w:rPr>
          <w:sz w:val="20"/>
          <w:szCs w:val="20"/>
        </w:rPr>
        <w:t>complex case with very high insulin requirements</w:t>
      </w:r>
      <w:r>
        <w:rPr>
          <w:sz w:val="20"/>
          <w:szCs w:val="20"/>
        </w:rPr>
        <w:t>.</w:t>
      </w:r>
    </w:p>
    <w:p w14:paraId="06B288C0" w14:textId="77777777" w:rsidR="009D63C0" w:rsidRDefault="009D63C0" w:rsidP="66F5E5D4">
      <w:pPr>
        <w:spacing w:after="0"/>
        <w:ind w:left="0"/>
        <w:contextualSpacing/>
        <w:jc w:val="left"/>
        <w:rPr>
          <w:sz w:val="20"/>
          <w:szCs w:val="20"/>
        </w:rPr>
      </w:pPr>
    </w:p>
    <w:p w14:paraId="7A49382B" w14:textId="4440D830" w:rsidR="000D662A" w:rsidRPr="00B67677" w:rsidRDefault="7048F3CF" w:rsidP="66F5E5D4">
      <w:pPr>
        <w:spacing w:after="0"/>
        <w:ind w:left="0"/>
        <w:contextualSpacing/>
        <w:jc w:val="left"/>
        <w:rPr>
          <w:rFonts w:ascii="Calibri" w:eastAsia="Times New Roman" w:hAnsi="Calibri" w:cs="Calibri"/>
          <w:sz w:val="20"/>
          <w:szCs w:val="20"/>
        </w:rPr>
      </w:pPr>
      <w:r w:rsidRPr="66F5E5D4">
        <w:rPr>
          <w:rFonts w:ascii="Calibri" w:eastAsia="Times New Roman" w:hAnsi="Calibri" w:cs="Calibri"/>
          <w:b/>
          <w:bCs/>
          <w:sz w:val="20"/>
          <w:szCs w:val="20"/>
        </w:rPr>
        <w:t>Outcomes/Objectives</w:t>
      </w:r>
      <w:r w:rsidRPr="66F5E5D4">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lastRenderedPageBreak/>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 xml:space="preserve">Credit will be uploaded to the NABP CPE Monitor within 30 days after the activity completion. It is the responsibility of the pharmacist to provide the correct information (NABP ID and DOB (MMDD) </w:t>
      </w:r>
      <w:proofErr w:type="gramStart"/>
      <w:r w:rsidRPr="00C66EC2">
        <w:rPr>
          <w:rFonts w:ascii="Calibri" w:eastAsia="Calibri" w:hAnsi="Calibri" w:cs="Calibri"/>
          <w:sz w:val="18"/>
          <w:szCs w:val="18"/>
          <w:lang w:bidi="en-US"/>
        </w:rPr>
        <w:t>in order to</w:t>
      </w:r>
      <w:proofErr w:type="gramEnd"/>
      <w:r w:rsidRPr="00C66EC2">
        <w:rPr>
          <w:rFonts w:ascii="Calibri" w:eastAsia="Calibri" w:hAnsi="Calibri" w:cs="Calibri"/>
          <w:sz w:val="18"/>
          <w:szCs w:val="18"/>
          <w:lang w:bidi="en-US"/>
        </w:rPr>
        <w:t xml:space="preserve">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79F7EF7B" w:rsidR="002D5D09"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w:t>
      </w:r>
      <w:proofErr w:type="gramStart"/>
      <w:r w:rsidR="00A21B47" w:rsidRPr="004D71FD">
        <w:rPr>
          <w:rFonts w:ascii="Calibri" w:eastAsia="Times New Roman" w:hAnsi="Calibri" w:cs="Calibri"/>
          <w:sz w:val="18"/>
          <w:szCs w:val="18"/>
        </w:rPr>
        <w:t>are in a position to</w:t>
      </w:r>
      <w:proofErr w:type="gramEnd"/>
      <w:r w:rsidR="00A21B47" w:rsidRPr="004D71FD">
        <w:rPr>
          <w:rFonts w:ascii="Calibri" w:eastAsia="Times New Roman" w:hAnsi="Calibri" w:cs="Calibri"/>
          <w:sz w:val="18"/>
          <w:szCs w:val="18"/>
        </w:rPr>
        <w:t xml:space="preserve"> control the content of this educational activity have completed the disclosure process and have indicated that they do not have any relevant financial relationships or affiliations with any manufacturers or commercial products to disclose </w:t>
      </w:r>
      <w:proofErr w:type="gramStart"/>
      <w:r w:rsidR="00E563F2" w:rsidRPr="004D71FD">
        <w:rPr>
          <w:rFonts w:ascii="Calibri" w:eastAsia="Times New Roman" w:hAnsi="Calibri" w:cs="Calibri"/>
          <w:sz w:val="18"/>
          <w:szCs w:val="18"/>
        </w:rPr>
        <w:t>with the exception of</w:t>
      </w:r>
      <w:proofErr w:type="gramEnd"/>
      <w:r w:rsidR="00E563F2" w:rsidRPr="004D71FD">
        <w:rPr>
          <w:rFonts w:ascii="Calibri" w:eastAsia="Times New Roman" w:hAnsi="Calibri" w:cs="Calibri"/>
          <w:sz w:val="18"/>
          <w:szCs w:val="18"/>
        </w:rPr>
        <w:t>:</w:t>
      </w:r>
    </w:p>
    <w:p w14:paraId="143E194B" w14:textId="7103FD9F" w:rsidR="002D5D09" w:rsidRPr="00617910" w:rsidRDefault="002D5D09" w:rsidP="00617910">
      <w:pPr>
        <w:pStyle w:val="ListParagraph"/>
        <w:numPr>
          <w:ilvl w:val="0"/>
          <w:numId w:val="15"/>
        </w:numPr>
        <w:rPr>
          <w:rFonts w:eastAsia="Times New Roman"/>
          <w:sz w:val="18"/>
          <w:szCs w:val="18"/>
        </w:rPr>
      </w:pPr>
      <w:r w:rsidRPr="00617910">
        <w:rPr>
          <w:rFonts w:eastAsia="Times New Roman"/>
          <w:sz w:val="18"/>
          <w:szCs w:val="18"/>
        </w:rPr>
        <w:t>Dr. Jorge Mera,</w:t>
      </w:r>
      <w:r w:rsidR="00E563F2" w:rsidRPr="00617910">
        <w:rPr>
          <w:rFonts w:eastAsia="Times New Roman"/>
          <w:sz w:val="18"/>
          <w:szCs w:val="18"/>
        </w:rPr>
        <w:t xml:space="preserve"> </w:t>
      </w:r>
      <w:r w:rsidR="000D662A" w:rsidRPr="00617910">
        <w:rPr>
          <w:rFonts w:eastAsia="Times New Roman"/>
          <w:sz w:val="18"/>
          <w:szCs w:val="18"/>
        </w:rPr>
        <w:t>planner</w:t>
      </w:r>
      <w:r w:rsidR="00E563F2" w:rsidRPr="00617910">
        <w:rPr>
          <w:rFonts w:eastAsia="Times New Roman"/>
          <w:sz w:val="18"/>
          <w:szCs w:val="18"/>
        </w:rPr>
        <w:t xml:space="preserve"> for this educational activity</w:t>
      </w:r>
      <w:r w:rsidR="007E1CAF" w:rsidRPr="00617910">
        <w:rPr>
          <w:rFonts w:eastAsia="Times New Roman"/>
          <w:sz w:val="18"/>
          <w:szCs w:val="18"/>
        </w:rPr>
        <w:t>,</w:t>
      </w:r>
      <w:r w:rsidR="00334B80" w:rsidRPr="00617910">
        <w:rPr>
          <w:rFonts w:eastAsia="Times New Roman"/>
          <w:sz w:val="18"/>
          <w:szCs w:val="18"/>
        </w:rPr>
        <w:t xml:space="preserve"> disclosed that he</w:t>
      </w:r>
      <w:r w:rsidR="00E563F2" w:rsidRPr="00617910">
        <w:rPr>
          <w:rFonts w:eastAsia="Times New Roman"/>
          <w:sz w:val="18"/>
          <w:szCs w:val="18"/>
        </w:rPr>
        <w:t xml:space="preserve"> </w:t>
      </w:r>
      <w:r w:rsidR="00FD06E4" w:rsidRPr="00617910">
        <w:rPr>
          <w:rFonts w:eastAsia="Times New Roman"/>
          <w:sz w:val="18"/>
          <w:szCs w:val="18"/>
        </w:rPr>
        <w:t xml:space="preserve">is on the speakers’ bureau for </w:t>
      </w:r>
      <w:r w:rsidRPr="00617910">
        <w:rPr>
          <w:rFonts w:eastAsia="Times New Roman"/>
          <w:sz w:val="18"/>
          <w:szCs w:val="18"/>
        </w:rPr>
        <w:t>AbbVie</w:t>
      </w:r>
      <w:r w:rsidR="00FD06E4" w:rsidRPr="00617910">
        <w:rPr>
          <w:rFonts w:eastAsia="Times New Roman"/>
          <w:sz w:val="18"/>
          <w:szCs w:val="18"/>
        </w:rPr>
        <w:t xml:space="preserve"> Pharmaceuticals and receive</w:t>
      </w:r>
      <w:r w:rsidR="00334B80" w:rsidRPr="00617910">
        <w:rPr>
          <w:rFonts w:eastAsia="Times New Roman"/>
          <w:sz w:val="18"/>
          <w:szCs w:val="18"/>
        </w:rPr>
        <w:t>s</w:t>
      </w:r>
      <w:r w:rsidR="00FD06E4" w:rsidRPr="00617910">
        <w:rPr>
          <w:rFonts w:eastAsia="Times New Roman"/>
          <w:sz w:val="18"/>
          <w:szCs w:val="18"/>
        </w:rPr>
        <w:t xml:space="preserve"> research grant</w:t>
      </w:r>
      <w:r w:rsidR="00334B80" w:rsidRPr="00617910">
        <w:rPr>
          <w:rFonts w:eastAsia="Times New Roman"/>
          <w:sz w:val="18"/>
          <w:szCs w:val="18"/>
        </w:rPr>
        <w:t xml:space="preserve"> support</w:t>
      </w:r>
      <w:r w:rsidR="00FD06E4" w:rsidRPr="00617910">
        <w:rPr>
          <w:rFonts w:eastAsia="Times New Roman"/>
          <w:sz w:val="18"/>
          <w:szCs w:val="18"/>
        </w:rPr>
        <w:t xml:space="preserve"> from</w:t>
      </w:r>
      <w:r w:rsidR="00334B80" w:rsidRPr="00617910">
        <w:rPr>
          <w:rFonts w:eastAsia="Times New Roman"/>
          <w:sz w:val="18"/>
          <w:szCs w:val="18"/>
        </w:rPr>
        <w:t xml:space="preserve"> the following pharmaceutical </w:t>
      </w:r>
      <w:proofErr w:type="gramStart"/>
      <w:r w:rsidR="00334B80" w:rsidRPr="00617910">
        <w:rPr>
          <w:rFonts w:eastAsia="Times New Roman"/>
          <w:sz w:val="18"/>
          <w:szCs w:val="18"/>
        </w:rPr>
        <w:t>companies;</w:t>
      </w:r>
      <w:proofErr w:type="gramEnd"/>
      <w:r w:rsidR="00FD06E4" w:rsidRPr="00617910">
        <w:rPr>
          <w:rFonts w:eastAsia="Times New Roman"/>
          <w:sz w:val="18"/>
          <w:szCs w:val="18"/>
        </w:rPr>
        <w:t xml:space="preserve"> </w:t>
      </w:r>
      <w:r w:rsidRPr="00617910">
        <w:rPr>
          <w:rFonts w:eastAsia="Times New Roman"/>
          <w:sz w:val="18"/>
          <w:szCs w:val="18"/>
        </w:rPr>
        <w:t>Gilead</w:t>
      </w:r>
      <w:r w:rsidR="00FD06E4" w:rsidRPr="00617910">
        <w:rPr>
          <w:rFonts w:eastAsia="Times New Roman"/>
          <w:sz w:val="18"/>
          <w:szCs w:val="18"/>
        </w:rPr>
        <w:t xml:space="preserve"> Sciences </w:t>
      </w:r>
      <w:r w:rsidR="00334B80" w:rsidRPr="00617910">
        <w:rPr>
          <w:rFonts w:eastAsia="Times New Roman"/>
          <w:sz w:val="18"/>
          <w:szCs w:val="18"/>
        </w:rPr>
        <w:t xml:space="preserve">Inc., AbbVie and Abbott </w:t>
      </w:r>
    </w:p>
    <w:p w14:paraId="70B72E85" w14:textId="158779DB" w:rsidR="008951B6" w:rsidRDefault="00A21B47"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p>
    <w:p w14:paraId="095A8248" w14:textId="77777777" w:rsidR="00663883" w:rsidRPr="00663883" w:rsidRDefault="00663883" w:rsidP="008951B6">
      <w:pPr>
        <w:spacing w:after="0"/>
        <w:ind w:left="90" w:right="0" w:firstLine="11"/>
        <w:jc w:val="left"/>
        <w:rPr>
          <w:rFonts w:ascii="Calibri" w:eastAsia="Times New Roman" w:hAnsi="Calibri" w:cs="Calibri"/>
          <w:sz w:val="8"/>
          <w:szCs w:val="8"/>
        </w:rPr>
      </w:pPr>
    </w:p>
    <w:p w14:paraId="6995D70E" w14:textId="3479E98F" w:rsidR="008951B6" w:rsidRPr="00663883" w:rsidRDefault="00663883" w:rsidP="002D5D09">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4401D64F" w14:textId="77777777" w:rsidR="00663883" w:rsidRPr="00B67677" w:rsidRDefault="00663883"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663883">
      <w:pPr>
        <w:spacing w:after="0"/>
        <w:ind w:left="9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663883">
      <w:pPr>
        <w:shd w:val="clear" w:color="auto" w:fill="FFFFFF"/>
        <w:spacing w:after="0"/>
        <w:ind w:left="90" w:right="0"/>
        <w:jc w:val="left"/>
        <w:rPr>
          <w:rFonts w:eastAsiaTheme="minorEastAsia" w:cs="Calibri"/>
          <w:b/>
          <w:bCs/>
          <w:sz w:val="20"/>
          <w:szCs w:val="20"/>
        </w:rPr>
      </w:pPr>
    </w:p>
    <w:p w14:paraId="41674B00" w14:textId="3B5AE222"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663883">
      <w:pPr>
        <w:shd w:val="clear" w:color="auto" w:fill="FFFFFF"/>
        <w:spacing w:after="0"/>
        <w:ind w:left="9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663883">
      <w:pPr>
        <w:shd w:val="clear" w:color="auto" w:fill="FFFFFF"/>
        <w:spacing w:after="0"/>
        <w:ind w:left="90" w:right="0"/>
        <w:jc w:val="left"/>
        <w:rPr>
          <w:rFonts w:eastAsiaTheme="minorEastAsia" w:cs="Calibri"/>
          <w:bCs/>
          <w:sz w:val="20"/>
          <w:szCs w:val="20"/>
        </w:rPr>
      </w:pPr>
    </w:p>
    <w:p w14:paraId="09717B96" w14:textId="28A2029A"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663883">
      <w:pPr>
        <w:shd w:val="clear" w:color="auto" w:fill="FFFFFF"/>
        <w:spacing w:after="0"/>
        <w:ind w:left="9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663883">
      <w:pPr>
        <w:widowControl w:val="0"/>
        <w:kinsoku w:val="0"/>
        <w:overflowPunct w:val="0"/>
        <w:autoSpaceDE w:val="0"/>
        <w:autoSpaceDN w:val="0"/>
        <w:adjustRightInd w:val="0"/>
        <w:spacing w:before="3" w:after="0"/>
        <w:ind w:left="90" w:right="0"/>
        <w:jc w:val="left"/>
        <w:rPr>
          <w:rFonts w:eastAsiaTheme="minorEastAsia" w:cs="Calibri"/>
          <w:b/>
          <w:bCs/>
          <w:sz w:val="20"/>
          <w:szCs w:val="20"/>
        </w:rPr>
      </w:pPr>
    </w:p>
    <w:p w14:paraId="4B99056E" w14:textId="6D18A69A" w:rsidR="005C0760" w:rsidRPr="00B67677" w:rsidRDefault="006A6046" w:rsidP="00663883">
      <w:pPr>
        <w:spacing w:after="0" w:line="259" w:lineRule="auto"/>
        <w:ind w:left="9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DD051A"/>
    <w:multiLevelType w:val="hybridMultilevel"/>
    <w:tmpl w:val="BC908968"/>
    <w:lvl w:ilvl="0" w:tplc="10000001">
      <w:start w:val="1"/>
      <w:numFmt w:val="bullet"/>
      <w:lvlText w:val=""/>
      <w:lvlJc w:val="left"/>
      <w:pPr>
        <w:ind w:left="461" w:hanging="360"/>
      </w:pPr>
      <w:rPr>
        <w:rFonts w:ascii="Symbol" w:hAnsi="Symbol" w:hint="default"/>
      </w:rPr>
    </w:lvl>
    <w:lvl w:ilvl="1" w:tplc="10000003" w:tentative="1">
      <w:start w:val="1"/>
      <w:numFmt w:val="bullet"/>
      <w:lvlText w:val="o"/>
      <w:lvlJc w:val="left"/>
      <w:pPr>
        <w:ind w:left="1181" w:hanging="360"/>
      </w:pPr>
      <w:rPr>
        <w:rFonts w:ascii="Courier New" w:hAnsi="Courier New" w:cs="Courier New" w:hint="default"/>
      </w:rPr>
    </w:lvl>
    <w:lvl w:ilvl="2" w:tplc="10000005" w:tentative="1">
      <w:start w:val="1"/>
      <w:numFmt w:val="bullet"/>
      <w:lvlText w:val=""/>
      <w:lvlJc w:val="left"/>
      <w:pPr>
        <w:ind w:left="1901" w:hanging="360"/>
      </w:pPr>
      <w:rPr>
        <w:rFonts w:ascii="Wingdings" w:hAnsi="Wingdings" w:hint="default"/>
      </w:rPr>
    </w:lvl>
    <w:lvl w:ilvl="3" w:tplc="10000001" w:tentative="1">
      <w:start w:val="1"/>
      <w:numFmt w:val="bullet"/>
      <w:lvlText w:val=""/>
      <w:lvlJc w:val="left"/>
      <w:pPr>
        <w:ind w:left="2621" w:hanging="360"/>
      </w:pPr>
      <w:rPr>
        <w:rFonts w:ascii="Symbol" w:hAnsi="Symbol" w:hint="default"/>
      </w:rPr>
    </w:lvl>
    <w:lvl w:ilvl="4" w:tplc="10000003" w:tentative="1">
      <w:start w:val="1"/>
      <w:numFmt w:val="bullet"/>
      <w:lvlText w:val="o"/>
      <w:lvlJc w:val="left"/>
      <w:pPr>
        <w:ind w:left="3341" w:hanging="360"/>
      </w:pPr>
      <w:rPr>
        <w:rFonts w:ascii="Courier New" w:hAnsi="Courier New" w:cs="Courier New" w:hint="default"/>
      </w:rPr>
    </w:lvl>
    <w:lvl w:ilvl="5" w:tplc="10000005" w:tentative="1">
      <w:start w:val="1"/>
      <w:numFmt w:val="bullet"/>
      <w:lvlText w:val=""/>
      <w:lvlJc w:val="left"/>
      <w:pPr>
        <w:ind w:left="4061" w:hanging="360"/>
      </w:pPr>
      <w:rPr>
        <w:rFonts w:ascii="Wingdings" w:hAnsi="Wingdings" w:hint="default"/>
      </w:rPr>
    </w:lvl>
    <w:lvl w:ilvl="6" w:tplc="10000001" w:tentative="1">
      <w:start w:val="1"/>
      <w:numFmt w:val="bullet"/>
      <w:lvlText w:val=""/>
      <w:lvlJc w:val="left"/>
      <w:pPr>
        <w:ind w:left="4781" w:hanging="360"/>
      </w:pPr>
      <w:rPr>
        <w:rFonts w:ascii="Symbol" w:hAnsi="Symbol" w:hint="default"/>
      </w:rPr>
    </w:lvl>
    <w:lvl w:ilvl="7" w:tplc="10000003" w:tentative="1">
      <w:start w:val="1"/>
      <w:numFmt w:val="bullet"/>
      <w:lvlText w:val="o"/>
      <w:lvlJc w:val="left"/>
      <w:pPr>
        <w:ind w:left="5501" w:hanging="360"/>
      </w:pPr>
      <w:rPr>
        <w:rFonts w:ascii="Courier New" w:hAnsi="Courier New" w:cs="Courier New" w:hint="default"/>
      </w:rPr>
    </w:lvl>
    <w:lvl w:ilvl="8" w:tplc="10000005" w:tentative="1">
      <w:start w:val="1"/>
      <w:numFmt w:val="bullet"/>
      <w:lvlText w:val=""/>
      <w:lvlJc w:val="left"/>
      <w:pPr>
        <w:ind w:left="6221" w:hanging="360"/>
      </w:pPr>
      <w:rPr>
        <w:rFonts w:ascii="Wingdings" w:hAnsi="Wingdings" w:hint="default"/>
      </w:r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1875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062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10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143730">
    <w:abstractNumId w:val="2"/>
  </w:num>
  <w:num w:numId="5" w16cid:durableId="483932532">
    <w:abstractNumId w:val="3"/>
  </w:num>
  <w:num w:numId="6" w16cid:durableId="160778927">
    <w:abstractNumId w:val="8"/>
  </w:num>
  <w:num w:numId="7" w16cid:durableId="124584722">
    <w:abstractNumId w:val="5"/>
  </w:num>
  <w:num w:numId="8" w16cid:durableId="1066219856">
    <w:abstractNumId w:val="13"/>
  </w:num>
  <w:num w:numId="9" w16cid:durableId="1585072456">
    <w:abstractNumId w:val="6"/>
  </w:num>
  <w:num w:numId="10" w16cid:durableId="1638759310">
    <w:abstractNumId w:val="9"/>
  </w:num>
  <w:num w:numId="11" w16cid:durableId="1542791630">
    <w:abstractNumId w:val="1"/>
  </w:num>
  <w:num w:numId="12" w16cid:durableId="2103605687">
    <w:abstractNumId w:val="0"/>
  </w:num>
  <w:num w:numId="13" w16cid:durableId="2010671206">
    <w:abstractNumId w:val="4"/>
  </w:num>
  <w:num w:numId="14" w16cid:durableId="205530394">
    <w:abstractNumId w:val="12"/>
  </w:num>
  <w:num w:numId="15" w16cid:durableId="783354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276AE"/>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7206B"/>
    <w:rsid w:val="00190214"/>
    <w:rsid w:val="001B2372"/>
    <w:rsid w:val="001B3393"/>
    <w:rsid w:val="001D62E5"/>
    <w:rsid w:val="001E4E33"/>
    <w:rsid w:val="001F3CD2"/>
    <w:rsid w:val="001F71DD"/>
    <w:rsid w:val="00203E89"/>
    <w:rsid w:val="00217085"/>
    <w:rsid w:val="0022243F"/>
    <w:rsid w:val="00227E0B"/>
    <w:rsid w:val="00267BFF"/>
    <w:rsid w:val="00274478"/>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A7512"/>
    <w:rsid w:val="003A79EC"/>
    <w:rsid w:val="003B1FCE"/>
    <w:rsid w:val="003B5A81"/>
    <w:rsid w:val="003C48CF"/>
    <w:rsid w:val="003D4911"/>
    <w:rsid w:val="00405C2F"/>
    <w:rsid w:val="00463757"/>
    <w:rsid w:val="00476B1F"/>
    <w:rsid w:val="00483382"/>
    <w:rsid w:val="004B77E9"/>
    <w:rsid w:val="004C167A"/>
    <w:rsid w:val="004D295C"/>
    <w:rsid w:val="004D41AA"/>
    <w:rsid w:val="004D71FD"/>
    <w:rsid w:val="00510843"/>
    <w:rsid w:val="00513AE8"/>
    <w:rsid w:val="005204D9"/>
    <w:rsid w:val="005400AA"/>
    <w:rsid w:val="00554AD8"/>
    <w:rsid w:val="005576F4"/>
    <w:rsid w:val="00574050"/>
    <w:rsid w:val="005821EC"/>
    <w:rsid w:val="005841B6"/>
    <w:rsid w:val="0059068F"/>
    <w:rsid w:val="005927C6"/>
    <w:rsid w:val="005A7BA3"/>
    <w:rsid w:val="005B311B"/>
    <w:rsid w:val="005C0760"/>
    <w:rsid w:val="005F0B6F"/>
    <w:rsid w:val="00617910"/>
    <w:rsid w:val="00637F29"/>
    <w:rsid w:val="00640C5A"/>
    <w:rsid w:val="00655C4A"/>
    <w:rsid w:val="0066279F"/>
    <w:rsid w:val="00663883"/>
    <w:rsid w:val="006A6046"/>
    <w:rsid w:val="006B1BE3"/>
    <w:rsid w:val="006C5F98"/>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01250"/>
    <w:rsid w:val="00912B60"/>
    <w:rsid w:val="00951FE9"/>
    <w:rsid w:val="009544D1"/>
    <w:rsid w:val="00972C0C"/>
    <w:rsid w:val="00980918"/>
    <w:rsid w:val="009828E0"/>
    <w:rsid w:val="00991C9D"/>
    <w:rsid w:val="0099610F"/>
    <w:rsid w:val="009A0226"/>
    <w:rsid w:val="009D63C0"/>
    <w:rsid w:val="009F0013"/>
    <w:rsid w:val="00A21B47"/>
    <w:rsid w:val="00A4171C"/>
    <w:rsid w:val="00A712FF"/>
    <w:rsid w:val="00A84569"/>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E6548"/>
    <w:rsid w:val="00CF23E3"/>
    <w:rsid w:val="00D2602A"/>
    <w:rsid w:val="00D5163F"/>
    <w:rsid w:val="00D53F5F"/>
    <w:rsid w:val="00DC444E"/>
    <w:rsid w:val="00DF1B5A"/>
    <w:rsid w:val="00E014A4"/>
    <w:rsid w:val="00E24E6F"/>
    <w:rsid w:val="00E563F2"/>
    <w:rsid w:val="00E61D0E"/>
    <w:rsid w:val="00E66265"/>
    <w:rsid w:val="00E737DD"/>
    <w:rsid w:val="00E73A95"/>
    <w:rsid w:val="00EB7A45"/>
    <w:rsid w:val="00F14F12"/>
    <w:rsid w:val="00F30745"/>
    <w:rsid w:val="00F37060"/>
    <w:rsid w:val="00F413BA"/>
    <w:rsid w:val="00F47852"/>
    <w:rsid w:val="00F60DF8"/>
    <w:rsid w:val="00F83A59"/>
    <w:rsid w:val="00FA1D45"/>
    <w:rsid w:val="00FD06E4"/>
    <w:rsid w:val="00FD1D35"/>
    <w:rsid w:val="020A09FA"/>
    <w:rsid w:val="059C3303"/>
    <w:rsid w:val="14E7F57A"/>
    <w:rsid w:val="16677964"/>
    <w:rsid w:val="26E4AE69"/>
    <w:rsid w:val="27B7538C"/>
    <w:rsid w:val="2B3DF9EF"/>
    <w:rsid w:val="39EDCFF2"/>
    <w:rsid w:val="3FE40DED"/>
    <w:rsid w:val="46D3CA18"/>
    <w:rsid w:val="50F0E1DA"/>
    <w:rsid w:val="53AFB19C"/>
    <w:rsid w:val="65337D84"/>
    <w:rsid w:val="66F5E5D4"/>
    <w:rsid w:val="6B7037BF"/>
    <w:rsid w:val="6D437A08"/>
    <w:rsid w:val="7048F3CF"/>
    <w:rsid w:val="7862E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47002117">
      <w:bodyDiv w:val="1"/>
      <w:marLeft w:val="0"/>
      <w:marRight w:val="0"/>
      <w:marTop w:val="0"/>
      <w:marBottom w:val="0"/>
      <w:divBdr>
        <w:top w:val="none" w:sz="0" w:space="0" w:color="auto"/>
        <w:left w:val="none" w:sz="0" w:space="0" w:color="auto"/>
        <w:bottom w:val="none" w:sz="0" w:space="0" w:color="auto"/>
        <w:right w:val="none" w:sz="0" w:space="0" w:color="auto"/>
      </w:divBdr>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692604900">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us06web.zoom.us/j/82065903350?pwd=sTGckyMGQdX3ni6TOvwGNASA88ukI8.1"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2.xml><?xml version="1.0" encoding="utf-8"?>
<ds:datastoreItem xmlns:ds="http://schemas.openxmlformats.org/officeDocument/2006/customXml" ds:itemID="{8462B41B-9330-4BA6-9A19-C88A56C2B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2026-01-06T23:08:00Z</dcterms:created>
  <dcterms:modified xsi:type="dcterms:W3CDTF">2026-01-06T23:08:00Z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