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6B2E7" w14:textId="77777777" w:rsidR="006B7D9D" w:rsidRDefault="004A6EB3">
      <w:pPr>
        <w:spacing w:after="180"/>
        <w:ind w:right="101"/>
      </w:pPr>
      <w:r>
        <w:t>Pharmacist-operated Pre-Exposure Prophylaxis (PrEP) Clinic</w:t>
      </w:r>
    </w:p>
    <w:p w14:paraId="0A19FF38" w14:textId="77777777" w:rsidR="006B7D9D" w:rsidRDefault="004A6EB3">
      <w:pPr>
        <w:spacing w:after="178"/>
        <w:ind w:left="3204" w:right="101"/>
      </w:pPr>
      <w:r>
        <w:t>Collaborative Practice Agreement</w:t>
      </w:r>
    </w:p>
    <w:p w14:paraId="26A4AF62" w14:textId="13412B14" w:rsidR="005601D9" w:rsidRDefault="005601D9" w:rsidP="005601D9">
      <w:pPr>
        <w:spacing w:after="173"/>
        <w:ind w:left="3179" w:right="101" w:firstLine="0"/>
      </w:pPr>
      <w:r>
        <w:t xml:space="preserve">Signatories Include: </w:t>
      </w:r>
    </w:p>
    <w:p w14:paraId="0726018A" w14:textId="36BF7D5B" w:rsidR="005601D9" w:rsidRDefault="005601D9" w:rsidP="005601D9">
      <w:pPr>
        <w:pStyle w:val="ListParagraph"/>
        <w:numPr>
          <w:ilvl w:val="0"/>
          <w:numId w:val="14"/>
        </w:numPr>
        <w:spacing w:after="173"/>
        <w:ind w:right="101"/>
      </w:pPr>
      <w:r>
        <w:t>Clinic Director</w:t>
      </w:r>
    </w:p>
    <w:p w14:paraId="55D8016C" w14:textId="5ABB8278" w:rsidR="005601D9" w:rsidRDefault="005601D9" w:rsidP="005601D9">
      <w:pPr>
        <w:pStyle w:val="ListParagraph"/>
        <w:numPr>
          <w:ilvl w:val="0"/>
          <w:numId w:val="14"/>
        </w:numPr>
        <w:spacing w:after="173"/>
        <w:ind w:right="101"/>
      </w:pPr>
      <w:r>
        <w:t xml:space="preserve">Pharmacy Director </w:t>
      </w:r>
    </w:p>
    <w:p w14:paraId="2260BCC5" w14:textId="5815C29E" w:rsidR="006B7D9D" w:rsidRDefault="005601D9" w:rsidP="005601D9">
      <w:pPr>
        <w:pStyle w:val="ListParagraph"/>
        <w:numPr>
          <w:ilvl w:val="0"/>
          <w:numId w:val="14"/>
        </w:numPr>
        <w:spacing w:after="173"/>
        <w:ind w:right="101"/>
      </w:pPr>
      <w:r>
        <w:t>Medication Management Therapy Coordinator</w:t>
      </w:r>
    </w:p>
    <w:p w14:paraId="3462BBCA" w14:textId="6C7A7EEA" w:rsidR="00C06959" w:rsidRPr="005601D9" w:rsidRDefault="004A6EB3" w:rsidP="005601D9">
      <w:pPr>
        <w:spacing w:after="444"/>
        <w:ind w:left="4126" w:right="101"/>
      </w:pPr>
      <w:r>
        <w:t>August 202</w:t>
      </w:r>
      <w:r w:rsidR="005601D9">
        <w:t>0</w:t>
      </w:r>
      <w:r w:rsidR="00C06959">
        <w:br w:type="page"/>
      </w:r>
    </w:p>
    <w:p w14:paraId="7D979EAB" w14:textId="0C0B9BC0" w:rsidR="006B7D9D" w:rsidRPr="00C06959" w:rsidRDefault="004A6EB3" w:rsidP="005601D9">
      <w:pPr>
        <w:pStyle w:val="Heading1"/>
        <w:spacing w:after="114"/>
        <w:ind w:left="0" w:firstLine="0"/>
        <w:rPr>
          <w:b/>
          <w:bCs/>
        </w:rPr>
      </w:pPr>
      <w:r w:rsidRPr="00C06959">
        <w:rPr>
          <w:b/>
          <w:bCs/>
        </w:rPr>
        <w:lastRenderedPageBreak/>
        <w:t>Statement of Need</w:t>
      </w:r>
    </w:p>
    <w:p w14:paraId="21F9EB3F" w14:textId="45D4E75A" w:rsidR="006B7D9D" w:rsidRDefault="004A6EB3" w:rsidP="00DB634A">
      <w:pPr>
        <w:ind w:left="22" w:right="223"/>
      </w:pPr>
      <w:r>
        <w:t>Human Immunodeficiency Virus/Acquired Immunodeficiency Syndrome (HIV/AIDS) is a complex and growing problem in the United States, affecting an estimated 1,1</w:t>
      </w:r>
      <w:r w:rsidR="001C559E">
        <w:t>89</w:t>
      </w:r>
      <w:r>
        <w:t>,</w:t>
      </w:r>
      <w:r w:rsidR="001C559E">
        <w:t>700 people with approximately 36</w:t>
      </w:r>
      <w:r>
        <w:t>,</w:t>
      </w:r>
      <w:r w:rsidR="001C559E">
        <w:t>801 people receiving an HIV diagnosis</w:t>
      </w:r>
      <w:r>
        <w:t xml:space="preserve"> in 201</w:t>
      </w:r>
      <w:r w:rsidR="001C559E">
        <w:t>9</w:t>
      </w:r>
      <w:r>
        <w:t>, according to the Centers for Disease Control and Prevention</w:t>
      </w:r>
      <w:r w:rsidR="001C559E">
        <w:t xml:space="preserve"> </w:t>
      </w:r>
      <w:r>
        <w:t xml:space="preserve">(CDC). Although American Indians and Alaskan Natives comprise only about one percent of the National HIV/AIDS infections, </w:t>
      </w:r>
      <w:r w:rsidR="001C559E">
        <w:t>there was a 22% increase in new HIV diagnoses between 2015-2019, the only group to see an increase</w:t>
      </w:r>
      <w:r>
        <w:t xml:space="preserve">. Pre-exposure prophylaxis (PrEP) has </w:t>
      </w:r>
      <w:r w:rsidR="00C06959">
        <w:t>been shown</w:t>
      </w:r>
      <w:r>
        <w:t xml:space="preserve"> to reduce the risk of transmission of HIV in those at highest risk by more than 90% in adherent patients.</w:t>
      </w:r>
    </w:p>
    <w:p w14:paraId="0BC28EFB" w14:textId="38EB8DC7" w:rsidR="006B7D9D" w:rsidRDefault="004A6EB3">
      <w:pPr>
        <w:spacing w:after="166"/>
        <w:ind w:left="22" w:right="101"/>
      </w:pPr>
      <w:r>
        <w:t xml:space="preserve">Successful reduction in transmission using PrEP requires continuous follow up with laboratory monitoring and counseling on side effects and adherence. </w:t>
      </w:r>
      <w:r w:rsidR="00C06959">
        <w:t xml:space="preserve">IHS </w:t>
      </w:r>
      <w:r w:rsidR="00242E9D">
        <w:t xml:space="preserve">facilities </w:t>
      </w:r>
      <w:r>
        <w:t>serve patients at risk for transmission of HIV. Utilization of pha</w:t>
      </w:r>
      <w:r w:rsidR="00C06959">
        <w:t>rm</w:t>
      </w:r>
      <w:r>
        <w:t>acist-run PrEP clinic will improve access to treatment, improve patient outcomes and reduce provider workload for routine follow up management.</w:t>
      </w:r>
    </w:p>
    <w:p w14:paraId="41F3E469" w14:textId="77777777" w:rsidR="006B7D9D" w:rsidRPr="00C06959" w:rsidRDefault="004A6EB3">
      <w:pPr>
        <w:pStyle w:val="Heading1"/>
        <w:spacing w:after="111"/>
        <w:ind w:left="24"/>
        <w:rPr>
          <w:b/>
          <w:bCs/>
        </w:rPr>
      </w:pPr>
      <w:r w:rsidRPr="00C06959">
        <w:rPr>
          <w:b/>
          <w:bCs/>
        </w:rPr>
        <w:t>Purpose and Goals</w:t>
      </w:r>
    </w:p>
    <w:p w14:paraId="287603D9" w14:textId="18F188DD" w:rsidR="006B7D9D" w:rsidRDefault="004A6EB3" w:rsidP="00C06959">
      <w:pPr>
        <w:ind w:left="22" w:right="101"/>
      </w:pPr>
      <w:r>
        <w:t xml:space="preserve">PrEP has the potential to decrease not only the burden of HIV at </w:t>
      </w:r>
      <w:r w:rsidR="00C06959">
        <w:t xml:space="preserve">IHS </w:t>
      </w:r>
      <w:r w:rsidR="00242E9D">
        <w:t>facilities and in the community</w:t>
      </w:r>
      <w:r>
        <w:t>, but also to decrease the prevalence of sexually transmitted infections through frequent screenings and treating new infections promptly. By screening persons who are at a high risk of contracting HIV and other sexually transmitted infections frequently, we will be able to respond with treatment to prevent further spread within the community and complications in the patient. Use of emtricitabine</w:t>
      </w:r>
      <w:r w:rsidR="00C06959">
        <w:t xml:space="preserve"> </w:t>
      </w:r>
      <w:r>
        <w:t>200mg/tenofovir 300mg has shown to be effective in preventing infection with HIV in persons who engage in high-risk behaviors</w:t>
      </w:r>
      <w:r w:rsidR="00242E9D">
        <w:t xml:space="preserve"> such as sharing injection equipment, and inconsistent condom use with </w:t>
      </w:r>
      <w:r w:rsidR="00006940">
        <w:t xml:space="preserve">sexual </w:t>
      </w:r>
      <w:r w:rsidR="00242E9D">
        <w:t>partners of unknown HIV status</w:t>
      </w:r>
      <w:r>
        <w:t>. PrEP clinic visits will also allow the opportunity to provide primary care services, such as immunizations and harm reduction counseling. It also improves access to treatment</w:t>
      </w:r>
      <w:r w:rsidR="00C06959">
        <w:t xml:space="preserve"> and</w:t>
      </w:r>
      <w:r>
        <w:t xml:space="preserve"> reduce</w:t>
      </w:r>
      <w:r w:rsidR="00C06959">
        <w:t>s</w:t>
      </w:r>
      <w:r>
        <w:t xml:space="preserve"> provider workload due to required, </w:t>
      </w:r>
      <w:r w:rsidR="00006940">
        <w:t xml:space="preserve">quarterly </w:t>
      </w:r>
      <w:r>
        <w:t>follow up. Allowing pharmacists to manage PrEP treatment by ordering labs, collecting subjective and objective data, and providing counseling and refills will accomplish this.</w:t>
      </w:r>
    </w:p>
    <w:p w14:paraId="5ED56DA5" w14:textId="77777777" w:rsidR="00C06959" w:rsidRDefault="00C06959" w:rsidP="00C06959">
      <w:pPr>
        <w:ind w:left="22" w:right="101"/>
      </w:pPr>
    </w:p>
    <w:p w14:paraId="527E5ED1" w14:textId="77777777" w:rsidR="006B7D9D" w:rsidRPr="00C06959" w:rsidRDefault="004A6EB3">
      <w:pPr>
        <w:pStyle w:val="Heading1"/>
        <w:ind w:left="24"/>
        <w:rPr>
          <w:b/>
          <w:bCs/>
        </w:rPr>
      </w:pPr>
      <w:r w:rsidRPr="00C06959">
        <w:rPr>
          <w:b/>
          <w:bCs/>
        </w:rPr>
        <w:t>Program Director</w:t>
      </w:r>
    </w:p>
    <w:p w14:paraId="5508609A" w14:textId="77777777" w:rsidR="006B7D9D" w:rsidRDefault="004A6EB3">
      <w:pPr>
        <w:spacing w:after="187"/>
        <w:ind w:left="22" w:right="101"/>
      </w:pPr>
      <w:r>
        <w:t>The chief of pharmacy and/or the clinical director will select the PrEP Pharmacy-Run Clinic director. Responsibilities will include:</w:t>
      </w:r>
    </w:p>
    <w:p w14:paraId="3D6EC445" w14:textId="77777777" w:rsidR="006B7D9D" w:rsidRDefault="004A6EB3">
      <w:pPr>
        <w:tabs>
          <w:tab w:val="center" w:pos="458"/>
          <w:tab w:val="center" w:pos="2556"/>
        </w:tabs>
        <w:ind w:left="0" w:firstLine="0"/>
      </w:pPr>
      <w:r>
        <w:tab/>
      </w:r>
      <w:r>
        <w:rPr>
          <w:noProof/>
        </w:rPr>
        <w:drawing>
          <wp:inline distT="0" distB="0" distL="0" distR="0" wp14:anchorId="4750DB4F" wp14:editId="03FA4F94">
            <wp:extent cx="41148" cy="9144"/>
            <wp:effectExtent l="0" t="0" r="0" b="0"/>
            <wp:docPr id="3097" name="Picture 3097"/>
            <wp:cNvGraphicFramePr/>
            <a:graphic xmlns:a="http://schemas.openxmlformats.org/drawingml/2006/main">
              <a:graphicData uri="http://schemas.openxmlformats.org/drawingml/2006/picture">
                <pic:pic xmlns:pic="http://schemas.openxmlformats.org/drawingml/2006/picture">
                  <pic:nvPicPr>
                    <pic:cNvPr id="3097" name="Picture 3097"/>
                    <pic:cNvPicPr/>
                  </pic:nvPicPr>
                  <pic:blipFill>
                    <a:blip r:embed="rId7"/>
                    <a:stretch>
                      <a:fillRect/>
                    </a:stretch>
                  </pic:blipFill>
                  <pic:spPr>
                    <a:xfrm>
                      <a:off x="0" y="0"/>
                      <a:ext cx="41148" cy="9144"/>
                    </a:xfrm>
                    <a:prstGeom prst="rect">
                      <a:avLst/>
                    </a:prstGeom>
                  </pic:spPr>
                </pic:pic>
              </a:graphicData>
            </a:graphic>
          </wp:inline>
        </w:drawing>
      </w:r>
      <w:r>
        <w:tab/>
        <w:t>Management of patients referred to clinic</w:t>
      </w:r>
    </w:p>
    <w:p w14:paraId="5D6C5A1D" w14:textId="77777777" w:rsidR="006B7D9D" w:rsidRDefault="004A6EB3">
      <w:pPr>
        <w:tabs>
          <w:tab w:val="center" w:pos="462"/>
          <w:tab w:val="center" w:pos="3560"/>
        </w:tabs>
        <w:spacing w:after="224"/>
        <w:ind w:left="0" w:firstLine="0"/>
      </w:pPr>
      <w:r>
        <w:tab/>
      </w:r>
      <w:r>
        <w:rPr>
          <w:noProof/>
        </w:rPr>
        <w:drawing>
          <wp:inline distT="0" distB="0" distL="0" distR="0" wp14:anchorId="34CB8721" wp14:editId="7F0BD6D3">
            <wp:extent cx="45720" cy="18288"/>
            <wp:effectExtent l="0" t="0" r="0" b="0"/>
            <wp:docPr id="3098" name="Picture 3098"/>
            <wp:cNvGraphicFramePr/>
            <a:graphic xmlns:a="http://schemas.openxmlformats.org/drawingml/2006/main">
              <a:graphicData uri="http://schemas.openxmlformats.org/drawingml/2006/picture">
                <pic:pic xmlns:pic="http://schemas.openxmlformats.org/drawingml/2006/picture">
                  <pic:nvPicPr>
                    <pic:cNvPr id="3098" name="Picture 3098"/>
                    <pic:cNvPicPr/>
                  </pic:nvPicPr>
                  <pic:blipFill>
                    <a:blip r:embed="rId8"/>
                    <a:stretch>
                      <a:fillRect/>
                    </a:stretch>
                  </pic:blipFill>
                  <pic:spPr>
                    <a:xfrm>
                      <a:off x="0" y="0"/>
                      <a:ext cx="45720" cy="18288"/>
                    </a:xfrm>
                    <a:prstGeom prst="rect">
                      <a:avLst/>
                    </a:prstGeom>
                  </pic:spPr>
                </pic:pic>
              </a:graphicData>
            </a:graphic>
          </wp:inline>
        </w:drawing>
      </w:r>
      <w:r>
        <w:tab/>
        <w:t>Reporting of outcomes and performance improvement measures</w:t>
      </w:r>
    </w:p>
    <w:p w14:paraId="20C9FC94" w14:textId="77777777" w:rsidR="006B7D9D" w:rsidRDefault="004A6EB3">
      <w:pPr>
        <w:pStyle w:val="Heading1"/>
        <w:ind w:left="24"/>
      </w:pPr>
      <w:r>
        <w:t>Referrals</w:t>
      </w:r>
    </w:p>
    <w:p w14:paraId="7FEB7EC5" w14:textId="77777777" w:rsidR="006B7D9D" w:rsidRDefault="004A6EB3">
      <w:pPr>
        <w:spacing w:after="179"/>
        <w:ind w:left="29" w:right="101"/>
      </w:pPr>
      <w:r>
        <w:t>Medical provider or primary care provider who will have initial visit along with one visit annually will refer patients. If eligible for treatment, provider will initiate medications and submit electronic health record (EHR) consult for PrEP Pharmacy-Run Clinic, documenting any precautions for treatment.</w:t>
      </w:r>
    </w:p>
    <w:p w14:paraId="086B56F0" w14:textId="77777777" w:rsidR="006B7D9D" w:rsidRDefault="004A6EB3">
      <w:pPr>
        <w:spacing w:after="173"/>
        <w:ind w:left="36" w:right="101"/>
      </w:pPr>
      <w:r>
        <w:t>Selection Criteria:</w:t>
      </w:r>
    </w:p>
    <w:p w14:paraId="18F2E2F9" w14:textId="051C4C46" w:rsidR="006B7D9D" w:rsidRDefault="004A6EB3">
      <w:pPr>
        <w:spacing w:after="172"/>
        <w:ind w:left="29" w:right="101"/>
      </w:pPr>
      <w:r>
        <w:t>Must be HIV negative</w:t>
      </w:r>
      <w:r w:rsidR="00AC007A">
        <w:t xml:space="preserve"> with a documented negative HIV Ag/Ab test result within 1 week before initially starting PrEP, has an estimated creatinine clearance &gt;30 ml/min, not on any contraindicated medications,</w:t>
      </w:r>
      <w:r>
        <w:t xml:space="preserve"> willing to adhere to </w:t>
      </w:r>
      <w:r w:rsidR="00C06959">
        <w:t>P</w:t>
      </w:r>
      <w:r>
        <w:t>rEP and keep clinic visits and not showing signs of acute HIV infection in the past 4 weeks in addition to one of</w:t>
      </w:r>
      <w:r w:rsidR="00C06959">
        <w:t xml:space="preserve"> </w:t>
      </w:r>
      <w:r>
        <w:t>th</w:t>
      </w:r>
      <w:r w:rsidR="00C06959">
        <w:t>e</w:t>
      </w:r>
      <w:r>
        <w:t xml:space="preserve"> following:</w:t>
      </w:r>
    </w:p>
    <w:p w14:paraId="38FA1D42" w14:textId="29A6BF92" w:rsidR="006B7D9D" w:rsidRDefault="004A6EB3">
      <w:pPr>
        <w:numPr>
          <w:ilvl w:val="0"/>
          <w:numId w:val="1"/>
        </w:numPr>
        <w:ind w:right="101" w:hanging="353"/>
      </w:pPr>
      <w:r>
        <w:t xml:space="preserve">Men who have sex with men (MSM) who engage in </w:t>
      </w:r>
      <w:r w:rsidR="00872D51">
        <w:t xml:space="preserve">condomless </w:t>
      </w:r>
      <w:r>
        <w:t xml:space="preserve">anal intercourse or have had a sexually transmitted infection diagnosed in the past 6 </w:t>
      </w:r>
      <w:proofErr w:type="gramStart"/>
      <w:r>
        <w:t>months</w:t>
      </w:r>
      <w:proofErr w:type="gramEnd"/>
    </w:p>
    <w:p w14:paraId="6E414CA8" w14:textId="4047671C" w:rsidR="006B7D9D" w:rsidRDefault="004A6EB3">
      <w:pPr>
        <w:numPr>
          <w:ilvl w:val="0"/>
          <w:numId w:val="1"/>
        </w:numPr>
        <w:spacing w:after="83" w:line="245" w:lineRule="auto"/>
        <w:ind w:right="101" w:hanging="353"/>
      </w:pPr>
      <w:r>
        <w:lastRenderedPageBreak/>
        <w:t xml:space="preserve">Heterosexual men and women engaging in </w:t>
      </w:r>
      <w:r w:rsidR="007A2496">
        <w:t>high-risk</w:t>
      </w:r>
      <w:r>
        <w:t xml:space="preserve"> sexual behavior defined as infrequent use of condoms during sex with one or more partner of unknown HIV status or diagnosed with a sexually transmitted infection within the last 6 months</w:t>
      </w:r>
    </w:p>
    <w:p w14:paraId="5A26C782" w14:textId="7D1008F8" w:rsidR="006B7D9D" w:rsidRDefault="004A6EB3">
      <w:pPr>
        <w:numPr>
          <w:ilvl w:val="0"/>
          <w:numId w:val="1"/>
        </w:numPr>
        <w:spacing w:after="83" w:line="245" w:lineRule="auto"/>
        <w:ind w:right="101" w:hanging="353"/>
      </w:pPr>
      <w:r>
        <w:t xml:space="preserve">Transgender women (male to female transgender individuals) who have sex with men and engage in </w:t>
      </w:r>
      <w:r w:rsidR="00901359">
        <w:t xml:space="preserve">condomless </w:t>
      </w:r>
      <w:r>
        <w:t xml:space="preserve">anal intercourse or have had a sexually transmitted infection diagnosed in the past 6 </w:t>
      </w:r>
      <w:proofErr w:type="gramStart"/>
      <w:r>
        <w:t>months</w:t>
      </w:r>
      <w:proofErr w:type="gramEnd"/>
    </w:p>
    <w:p w14:paraId="6D4B7D09" w14:textId="53679F04" w:rsidR="007A2496" w:rsidRDefault="004A6EB3" w:rsidP="0080519D">
      <w:pPr>
        <w:numPr>
          <w:ilvl w:val="0"/>
          <w:numId w:val="1"/>
        </w:numPr>
        <w:spacing w:after="0"/>
        <w:ind w:right="101" w:hanging="353"/>
      </w:pPr>
      <w:r>
        <w:t>HIV negative persons in an ongoing sexual relationship with an HIV positive person</w:t>
      </w:r>
      <w:r w:rsidR="00901359">
        <w:t>, particularly for those not virally suppressed.</w:t>
      </w:r>
    </w:p>
    <w:p w14:paraId="1CC0B772" w14:textId="02A7754B" w:rsidR="006B7D9D" w:rsidRDefault="004A6EB3" w:rsidP="0080519D">
      <w:pPr>
        <w:numPr>
          <w:ilvl w:val="0"/>
          <w:numId w:val="1"/>
        </w:numPr>
        <w:spacing w:after="0"/>
        <w:ind w:right="101" w:hanging="353"/>
      </w:pPr>
      <w:r>
        <w:t>IV drug users who have shared injection or drug preparation equipment</w:t>
      </w:r>
    </w:p>
    <w:p w14:paraId="034ED997" w14:textId="77777777" w:rsidR="0080519D" w:rsidRDefault="0080519D" w:rsidP="0080519D">
      <w:pPr>
        <w:spacing w:after="0"/>
        <w:ind w:right="101"/>
      </w:pPr>
    </w:p>
    <w:p w14:paraId="284A5580" w14:textId="77777777" w:rsidR="006B7D9D" w:rsidRDefault="004A6EB3">
      <w:pPr>
        <w:spacing w:after="224"/>
        <w:ind w:left="79" w:right="101"/>
      </w:pPr>
      <w:r>
        <w:t>Considerations:</w:t>
      </w:r>
    </w:p>
    <w:p w14:paraId="12D5AC5D" w14:textId="77777777" w:rsidR="007A2496" w:rsidRDefault="004A6EB3">
      <w:pPr>
        <w:numPr>
          <w:ilvl w:val="0"/>
          <w:numId w:val="1"/>
        </w:numPr>
        <w:ind w:right="101" w:hanging="353"/>
      </w:pPr>
      <w:r>
        <w:t>Contraindicated</w:t>
      </w:r>
    </w:p>
    <w:p w14:paraId="553B9A86" w14:textId="21934DDE" w:rsidR="007A2496" w:rsidRDefault="004A6EB3" w:rsidP="007A2496">
      <w:pPr>
        <w:numPr>
          <w:ilvl w:val="1"/>
          <w:numId w:val="1"/>
        </w:numPr>
        <w:ind w:right="101" w:hanging="353"/>
      </w:pPr>
      <w:r>
        <w:t xml:space="preserve">HIV positive </w:t>
      </w:r>
    </w:p>
    <w:p w14:paraId="11D089CA" w14:textId="6EBF11A9" w:rsidR="007A2496" w:rsidRDefault="004A6EB3" w:rsidP="007A2496">
      <w:pPr>
        <w:numPr>
          <w:ilvl w:val="1"/>
          <w:numId w:val="1"/>
        </w:numPr>
        <w:ind w:right="101" w:hanging="353"/>
      </w:pPr>
      <w:r>
        <w:t>Creatinine clearance less than 60ml/min</w:t>
      </w:r>
    </w:p>
    <w:p w14:paraId="46BED51C" w14:textId="2C2B3D04" w:rsidR="006B7D9D" w:rsidRDefault="004A6EB3" w:rsidP="007A2496">
      <w:pPr>
        <w:numPr>
          <w:ilvl w:val="1"/>
          <w:numId w:val="1"/>
        </w:numPr>
        <w:ind w:right="101" w:hanging="353"/>
      </w:pPr>
      <w:r>
        <w:t>Lack of readiness to adherence</w:t>
      </w:r>
    </w:p>
    <w:p w14:paraId="19A631D6" w14:textId="77777777" w:rsidR="007A2496" w:rsidRDefault="007A2496" w:rsidP="007A2496">
      <w:pPr>
        <w:ind w:right="101"/>
      </w:pPr>
    </w:p>
    <w:p w14:paraId="34585AD1" w14:textId="77777777" w:rsidR="007A2496" w:rsidRDefault="004A6EB3" w:rsidP="007A2496">
      <w:pPr>
        <w:numPr>
          <w:ilvl w:val="0"/>
          <w:numId w:val="1"/>
        </w:numPr>
        <w:spacing w:after="212" w:line="245" w:lineRule="auto"/>
        <w:ind w:right="101" w:hanging="353"/>
      </w:pPr>
      <w:r>
        <w:t>Considerations</w:t>
      </w:r>
    </w:p>
    <w:p w14:paraId="0D644D77" w14:textId="77777777" w:rsidR="007A2496" w:rsidRDefault="004A6EB3" w:rsidP="007A2496">
      <w:pPr>
        <w:numPr>
          <w:ilvl w:val="1"/>
          <w:numId w:val="1"/>
        </w:numPr>
        <w:spacing w:after="0" w:line="245" w:lineRule="auto"/>
        <w:ind w:right="101" w:hanging="353"/>
      </w:pPr>
      <w:r>
        <w:t>Chronic active Hepatitis B infection</w:t>
      </w:r>
    </w:p>
    <w:p w14:paraId="5A2F7DB4" w14:textId="7B3A3292" w:rsidR="007A2496" w:rsidRDefault="004A6EB3" w:rsidP="007A2496">
      <w:pPr>
        <w:numPr>
          <w:ilvl w:val="1"/>
          <w:numId w:val="1"/>
        </w:numPr>
        <w:spacing w:after="0" w:line="245" w:lineRule="auto"/>
        <w:ind w:right="101" w:hanging="353"/>
      </w:pPr>
      <w:r>
        <w:t>Pregnancy, attempting to conceive or breast</w:t>
      </w:r>
      <w:r w:rsidR="00901359">
        <w:t>/chest</w:t>
      </w:r>
      <w:r>
        <w:t xml:space="preserve"> feeding</w:t>
      </w:r>
    </w:p>
    <w:p w14:paraId="5F5D84F0" w14:textId="77777777" w:rsidR="007A2496" w:rsidRDefault="004A6EB3" w:rsidP="007A2496">
      <w:pPr>
        <w:numPr>
          <w:ilvl w:val="1"/>
          <w:numId w:val="1"/>
        </w:numPr>
        <w:spacing w:after="0" w:line="245" w:lineRule="auto"/>
        <w:ind w:right="101" w:hanging="353"/>
      </w:pPr>
      <w:r>
        <w:t>Age younger than 18</w:t>
      </w:r>
    </w:p>
    <w:p w14:paraId="3CF8E0C5" w14:textId="77777777" w:rsidR="007A2496" w:rsidRDefault="004A6EB3" w:rsidP="007A2496">
      <w:pPr>
        <w:numPr>
          <w:ilvl w:val="1"/>
          <w:numId w:val="1"/>
        </w:numPr>
        <w:spacing w:after="0" w:line="245" w:lineRule="auto"/>
        <w:ind w:right="101" w:hanging="353"/>
      </w:pPr>
      <w:r>
        <w:t>Presence of osteopenia/</w:t>
      </w:r>
      <w:proofErr w:type="spellStart"/>
      <w:r>
        <w:t>osteomalacia</w:t>
      </w:r>
      <w:proofErr w:type="spellEnd"/>
      <w:r>
        <w:t xml:space="preserve">/osteoporosis </w:t>
      </w:r>
    </w:p>
    <w:p w14:paraId="22026333" w14:textId="496569A6" w:rsidR="006B7D9D" w:rsidRDefault="004A6EB3" w:rsidP="007A2496">
      <w:pPr>
        <w:numPr>
          <w:ilvl w:val="1"/>
          <w:numId w:val="1"/>
        </w:numPr>
        <w:spacing w:after="0" w:line="245" w:lineRule="auto"/>
        <w:ind w:right="101" w:hanging="353"/>
      </w:pPr>
      <w:r>
        <w:t>At risk of chronic kidney disease</w:t>
      </w:r>
    </w:p>
    <w:p w14:paraId="55932725" w14:textId="77777777" w:rsidR="007A2496" w:rsidRDefault="007A2496" w:rsidP="007A2496">
      <w:pPr>
        <w:spacing w:after="0" w:line="245" w:lineRule="auto"/>
        <w:ind w:right="101"/>
      </w:pPr>
    </w:p>
    <w:p w14:paraId="50A44EB4" w14:textId="77777777" w:rsidR="006B7D9D" w:rsidRDefault="004A6EB3">
      <w:pPr>
        <w:spacing w:after="192"/>
        <w:ind w:left="36" w:right="101"/>
      </w:pPr>
      <w:r>
        <w:t>Criteria for staying in clinic:</w:t>
      </w:r>
    </w:p>
    <w:p w14:paraId="4A6C2B8D" w14:textId="77777777" w:rsidR="006B7D9D" w:rsidRDefault="004A6EB3">
      <w:pPr>
        <w:numPr>
          <w:ilvl w:val="0"/>
          <w:numId w:val="1"/>
        </w:numPr>
        <w:ind w:right="101" w:hanging="353"/>
      </w:pPr>
      <w:r>
        <w:t>Minimum of one visit with a provider or PCP annually</w:t>
      </w:r>
    </w:p>
    <w:p w14:paraId="32CFAA19" w14:textId="6B35167D" w:rsidR="006B7D9D" w:rsidRDefault="00901359">
      <w:pPr>
        <w:numPr>
          <w:ilvl w:val="0"/>
          <w:numId w:val="1"/>
        </w:numPr>
        <w:ind w:right="101" w:hanging="353"/>
      </w:pPr>
      <w:r>
        <w:t xml:space="preserve">Minimal </w:t>
      </w:r>
      <w:r w:rsidR="004A6EB3">
        <w:t xml:space="preserve">missed appointments without calling to </w:t>
      </w:r>
      <w:proofErr w:type="gramStart"/>
      <w:r w:rsidR="004A6EB3">
        <w:t>reschedule</w:t>
      </w:r>
      <w:proofErr w:type="gramEnd"/>
    </w:p>
    <w:p w14:paraId="705ED809" w14:textId="3E7E4414" w:rsidR="006B7D9D" w:rsidRDefault="004A6EB3" w:rsidP="0080519D">
      <w:pPr>
        <w:numPr>
          <w:ilvl w:val="0"/>
          <w:numId w:val="1"/>
        </w:numPr>
        <w:spacing w:after="150" w:line="240" w:lineRule="auto"/>
        <w:ind w:right="101" w:hanging="353"/>
      </w:pPr>
      <w:r>
        <w:t xml:space="preserve">Must have visit with benefits coordinator to check eligibility for insurance and cooperate with pharmacy </w:t>
      </w:r>
      <w:r w:rsidR="007A2496">
        <w:t>in regard to</w:t>
      </w:r>
      <w:r>
        <w:t xml:space="preserve"> enrollment in patient assistance plans or insurance </w:t>
      </w:r>
      <w:proofErr w:type="gramStart"/>
      <w:r>
        <w:t>enrollment</w:t>
      </w:r>
      <w:proofErr w:type="gramEnd"/>
    </w:p>
    <w:p w14:paraId="0192C94F" w14:textId="77777777" w:rsidR="006B7D9D" w:rsidRDefault="004A6EB3">
      <w:pPr>
        <w:pStyle w:val="Heading1"/>
        <w:spacing w:after="200"/>
        <w:ind w:left="24"/>
      </w:pPr>
      <w:r>
        <w:t>Pharmacists' Responsibilities</w:t>
      </w:r>
    </w:p>
    <w:p w14:paraId="77418EDF" w14:textId="66D1CC19" w:rsidR="006B7D9D" w:rsidRDefault="004A6EB3" w:rsidP="00FB5EDB">
      <w:pPr>
        <w:pStyle w:val="ListParagraph"/>
        <w:numPr>
          <w:ilvl w:val="0"/>
          <w:numId w:val="9"/>
        </w:numPr>
        <w:spacing w:after="54"/>
        <w:ind w:right="101"/>
      </w:pPr>
      <w:r>
        <w:t>Review most recent CDC Pre-Exposure Prophylaxis guidelines</w:t>
      </w:r>
    </w:p>
    <w:p w14:paraId="198FD418" w14:textId="57067C86" w:rsidR="00AE2FDA" w:rsidRDefault="00AE2FDA" w:rsidP="00DB634A">
      <w:pPr>
        <w:pStyle w:val="ListParagraph"/>
        <w:numPr>
          <w:ilvl w:val="1"/>
          <w:numId w:val="9"/>
        </w:numPr>
        <w:spacing w:after="54"/>
        <w:ind w:right="101"/>
      </w:pPr>
      <w:r>
        <w:t>For the MSM population, there is scientific evidence that taking PrEP on-demand (2-1-1 schedule: take 2 pills 2-24 hours before sex, 1 pill 24 hours after the first dose, 1 pill 24 hours after the second dose) provides effective protection when having anal sex without a condom.</w:t>
      </w:r>
      <w:r w:rsidR="00C63CD2">
        <w:t xml:space="preserve"> Note, on-demand PrEP is not currently approved by the FDA, and not </w:t>
      </w:r>
      <w:r w:rsidR="00804CE3">
        <w:t xml:space="preserve">fully </w:t>
      </w:r>
      <w:r w:rsidR="00C63CD2">
        <w:t>endorsed by CDC.</w:t>
      </w:r>
    </w:p>
    <w:p w14:paraId="2EE401B7" w14:textId="39A3E2EC" w:rsidR="00186F28" w:rsidRDefault="00186F28" w:rsidP="00DB634A">
      <w:pPr>
        <w:pStyle w:val="ListParagraph"/>
        <w:numPr>
          <w:ilvl w:val="1"/>
          <w:numId w:val="9"/>
        </w:numPr>
        <w:spacing w:after="54"/>
        <w:ind w:right="101"/>
      </w:pPr>
      <w:r>
        <w:t xml:space="preserve">Consider offering </w:t>
      </w:r>
      <w:proofErr w:type="spellStart"/>
      <w:r>
        <w:t>DoxyPEP</w:t>
      </w:r>
      <w:proofErr w:type="spellEnd"/>
      <w:r>
        <w:t xml:space="preserve"> once guidelines are published by CDC for STI prevention among MSM and transwomen.</w:t>
      </w:r>
    </w:p>
    <w:p w14:paraId="63AE666A" w14:textId="77777777" w:rsidR="00FB5EDB" w:rsidRDefault="004A6EB3" w:rsidP="00FB5EDB">
      <w:pPr>
        <w:pStyle w:val="ListParagraph"/>
        <w:numPr>
          <w:ilvl w:val="0"/>
          <w:numId w:val="9"/>
        </w:numPr>
        <w:spacing w:after="71"/>
        <w:ind w:right="101"/>
      </w:pPr>
      <w:r>
        <w:t>Review patient chart and referral for clinic</w:t>
      </w:r>
    </w:p>
    <w:p w14:paraId="597B942E" w14:textId="7B00AB09" w:rsidR="006B7D9D" w:rsidRDefault="004A6EB3" w:rsidP="00FB5EDB">
      <w:pPr>
        <w:pStyle w:val="ListParagraph"/>
        <w:numPr>
          <w:ilvl w:val="0"/>
          <w:numId w:val="9"/>
        </w:numPr>
        <w:spacing w:after="71"/>
        <w:ind w:right="101"/>
      </w:pPr>
      <w:r>
        <w:t>Provide/document counseling on adherence</w:t>
      </w:r>
    </w:p>
    <w:p w14:paraId="210B38F6" w14:textId="77777777" w:rsidR="00FB5EDB" w:rsidRDefault="004A6EB3" w:rsidP="00FB5EDB">
      <w:pPr>
        <w:pStyle w:val="ListParagraph"/>
        <w:numPr>
          <w:ilvl w:val="0"/>
          <w:numId w:val="9"/>
        </w:numPr>
        <w:spacing w:after="92"/>
        <w:ind w:right="468"/>
      </w:pPr>
      <w:r>
        <w:t>Provide refill authorization of daily PrEP medication for no more than 90 days (1 prescription with 2 refills) until the next HIV test in 3 months</w:t>
      </w:r>
    </w:p>
    <w:p w14:paraId="74F09AC0" w14:textId="2B2979C3" w:rsidR="006B7D9D" w:rsidRDefault="004A6EB3" w:rsidP="00FB5EDB">
      <w:pPr>
        <w:pStyle w:val="ListParagraph"/>
        <w:numPr>
          <w:ilvl w:val="1"/>
          <w:numId w:val="9"/>
        </w:numPr>
        <w:spacing w:after="92"/>
        <w:ind w:right="468"/>
      </w:pPr>
      <w:r>
        <w:t xml:space="preserve">Pharmacists will ensure that patients get HIV testing </w:t>
      </w:r>
      <w:r w:rsidR="0080519D">
        <w:t>every</w:t>
      </w:r>
      <w:r>
        <w:t xml:space="preserve"> 3 months before refilling/dispensing PrEP medication</w:t>
      </w:r>
    </w:p>
    <w:p w14:paraId="6F68FFF8" w14:textId="77777777" w:rsidR="00FB5EDB" w:rsidRDefault="004A6EB3" w:rsidP="00FB5EDB">
      <w:pPr>
        <w:pStyle w:val="ListParagraph"/>
        <w:numPr>
          <w:ilvl w:val="0"/>
          <w:numId w:val="9"/>
        </w:numPr>
        <w:spacing w:after="37"/>
        <w:ind w:right="101"/>
      </w:pPr>
      <w:r>
        <w:lastRenderedPageBreak/>
        <w:t>Immunizations: pharmacists who are immunization certified may administer immunizations per</w:t>
      </w:r>
      <w:r w:rsidR="00FB5EDB">
        <w:t xml:space="preserve"> </w:t>
      </w:r>
      <w:r>
        <w:t>ACIP recommendations to eligible patients</w:t>
      </w:r>
    </w:p>
    <w:p w14:paraId="0217C158" w14:textId="02AE48C8" w:rsidR="006B7D9D" w:rsidRDefault="004A6EB3" w:rsidP="00FB5EDB">
      <w:pPr>
        <w:pStyle w:val="ListParagraph"/>
        <w:numPr>
          <w:ilvl w:val="1"/>
          <w:numId w:val="9"/>
        </w:numPr>
        <w:spacing w:after="37"/>
        <w:ind w:right="101"/>
      </w:pPr>
      <w:r>
        <w:t>These include but not limited to the annual influenza vaccine, Tdap, HBV, HAV, and PPV23</w:t>
      </w:r>
    </w:p>
    <w:p w14:paraId="646101B7" w14:textId="732AC0A6" w:rsidR="006B7D9D" w:rsidRDefault="004A6EB3" w:rsidP="00FB5EDB">
      <w:pPr>
        <w:pStyle w:val="ListParagraph"/>
        <w:numPr>
          <w:ilvl w:val="0"/>
          <w:numId w:val="9"/>
        </w:numPr>
        <w:spacing w:after="71"/>
        <w:ind w:right="101"/>
      </w:pPr>
      <w:r>
        <w:t>Harm reduction principles pertaining to patient specific risk factors will be discussed at every visit</w:t>
      </w:r>
    </w:p>
    <w:p w14:paraId="250D2F87" w14:textId="7320105E" w:rsidR="006B7D9D" w:rsidRDefault="004A6EB3" w:rsidP="00FB5EDB">
      <w:pPr>
        <w:pStyle w:val="ListParagraph"/>
        <w:numPr>
          <w:ilvl w:val="1"/>
          <w:numId w:val="9"/>
        </w:numPr>
        <w:ind w:right="101"/>
      </w:pPr>
      <w:proofErr w:type="gramStart"/>
      <w:r>
        <w:t>Pharmacist</w:t>
      </w:r>
      <w:proofErr w:type="gramEnd"/>
      <w:r>
        <w:t xml:space="preserve"> will provide condoms</w:t>
      </w:r>
      <w:r w:rsidR="00AE2FDA">
        <w:t>/lube</w:t>
      </w:r>
      <w:r>
        <w:t xml:space="preserve"> and refer patients to the </w:t>
      </w:r>
      <w:r w:rsidR="0080519D">
        <w:t xml:space="preserve">local </w:t>
      </w:r>
      <w:r>
        <w:t>Department of</w:t>
      </w:r>
      <w:r w:rsidR="00FB5EDB">
        <w:t xml:space="preserve"> </w:t>
      </w:r>
      <w:r>
        <w:t xml:space="preserve">Health for </w:t>
      </w:r>
      <w:r w:rsidR="00AE2FDA">
        <w:t>harm reduction</w:t>
      </w:r>
      <w:r>
        <w:t xml:space="preserve"> </w:t>
      </w:r>
      <w:proofErr w:type="gramStart"/>
      <w:r>
        <w:t>services</w:t>
      </w:r>
      <w:proofErr w:type="gramEnd"/>
      <w:r>
        <w:t xml:space="preserve"> if necessary</w:t>
      </w:r>
      <w:r w:rsidR="00AE2FDA">
        <w:t>, if these services are not yet available at the local service unit.</w:t>
      </w:r>
    </w:p>
    <w:p w14:paraId="79A50E65" w14:textId="77777777" w:rsidR="00FB5EDB" w:rsidRDefault="004A6EB3" w:rsidP="00FB5EDB">
      <w:pPr>
        <w:pStyle w:val="ListParagraph"/>
        <w:numPr>
          <w:ilvl w:val="1"/>
          <w:numId w:val="9"/>
        </w:numPr>
        <w:spacing w:after="0" w:line="245" w:lineRule="auto"/>
        <w:ind w:right="101"/>
      </w:pPr>
      <w:r>
        <w:t>Alcohol, tobacco and other drug use will be discussed at each visit using motivational interviewing to help patients to decrease substance abuse</w:t>
      </w:r>
    </w:p>
    <w:p w14:paraId="05E519A6" w14:textId="4B6FF97C" w:rsidR="006B7D9D" w:rsidRDefault="004A6EB3" w:rsidP="00FB5EDB">
      <w:pPr>
        <w:pStyle w:val="ListParagraph"/>
        <w:numPr>
          <w:ilvl w:val="1"/>
          <w:numId w:val="9"/>
        </w:numPr>
        <w:spacing w:after="0" w:line="245" w:lineRule="auto"/>
        <w:ind w:right="101"/>
      </w:pPr>
      <w:r>
        <w:t>Pharmacist may also refer patients to behavioral health if needed</w:t>
      </w:r>
    </w:p>
    <w:p w14:paraId="4115B358" w14:textId="77777777" w:rsidR="006B7D9D" w:rsidRDefault="004A6EB3" w:rsidP="00FB5EDB">
      <w:pPr>
        <w:pStyle w:val="ListParagraph"/>
        <w:numPr>
          <w:ilvl w:val="0"/>
          <w:numId w:val="9"/>
        </w:numPr>
        <w:ind w:right="101"/>
      </w:pPr>
      <w:r>
        <w:t>Follow up with laboratory monitoring base on the Appendix A</w:t>
      </w:r>
    </w:p>
    <w:p w14:paraId="35317EED" w14:textId="77777777" w:rsidR="00FB5EDB" w:rsidRDefault="004A6EB3" w:rsidP="00FB5EDB">
      <w:pPr>
        <w:pStyle w:val="ListParagraph"/>
        <w:numPr>
          <w:ilvl w:val="0"/>
          <w:numId w:val="9"/>
        </w:numPr>
        <w:spacing w:after="199"/>
        <w:ind w:right="1498"/>
      </w:pPr>
      <w:r>
        <w:t>STI management (chlamydia, syphilis, and gonorrhea)</w:t>
      </w:r>
    </w:p>
    <w:p w14:paraId="788E2017" w14:textId="7474857A" w:rsidR="006B7D9D" w:rsidRDefault="004A6EB3" w:rsidP="00FB5EDB">
      <w:pPr>
        <w:pStyle w:val="ListParagraph"/>
        <w:numPr>
          <w:ilvl w:val="1"/>
          <w:numId w:val="9"/>
        </w:numPr>
        <w:spacing w:after="199"/>
        <w:ind w:right="1498"/>
      </w:pPr>
      <w:r>
        <w:t>Discuss and refer to PrEP referring provider for evaluation and treatment</w:t>
      </w:r>
    </w:p>
    <w:p w14:paraId="7F720C7C" w14:textId="77777777" w:rsidR="006B7D9D" w:rsidRPr="00FB5EDB" w:rsidRDefault="004A6EB3">
      <w:pPr>
        <w:spacing w:after="114" w:line="259" w:lineRule="auto"/>
        <w:ind w:left="24" w:hanging="10"/>
        <w:rPr>
          <w:b/>
          <w:bCs/>
        </w:rPr>
      </w:pPr>
      <w:r w:rsidRPr="00FB5EDB">
        <w:rPr>
          <w:b/>
          <w:bCs/>
          <w:sz w:val="24"/>
        </w:rPr>
        <w:t>Discontinuation of PrEP:</w:t>
      </w:r>
    </w:p>
    <w:p w14:paraId="5555F43F" w14:textId="77777777" w:rsidR="006B7D9D" w:rsidRDefault="004A6EB3">
      <w:pPr>
        <w:spacing w:after="177"/>
        <w:ind w:left="50" w:right="101"/>
      </w:pPr>
      <w:r>
        <w:t>After consultation with PrEP referring provider, patients will be discharged from the PrEP clinic and PrEP therapy discontinued for the following reasons:</w:t>
      </w:r>
    </w:p>
    <w:p w14:paraId="5D87F0D2" w14:textId="77777777" w:rsidR="006B7D9D" w:rsidRDefault="004A6EB3" w:rsidP="0080519D">
      <w:pPr>
        <w:numPr>
          <w:ilvl w:val="0"/>
          <w:numId w:val="10"/>
        </w:numPr>
        <w:ind w:right="101" w:hanging="374"/>
      </w:pPr>
      <w:r>
        <w:t>If patient receives a positive HIV test result</w:t>
      </w:r>
    </w:p>
    <w:p w14:paraId="432EA39F" w14:textId="47C82CE9" w:rsidR="006B7D9D" w:rsidRDefault="004A6EB3" w:rsidP="0080519D">
      <w:pPr>
        <w:numPr>
          <w:ilvl w:val="0"/>
          <w:numId w:val="10"/>
        </w:numPr>
        <w:ind w:right="101" w:hanging="374"/>
      </w:pPr>
      <w:r>
        <w:t>Non-adherent to medication and appointments</w:t>
      </w:r>
      <w:r w:rsidR="00AE2FDA">
        <w:t xml:space="preserve"> after several attempts to engage patient</w:t>
      </w:r>
    </w:p>
    <w:p w14:paraId="6F47E3D9" w14:textId="77777777" w:rsidR="006B7D9D" w:rsidRDefault="004A6EB3" w:rsidP="0080519D">
      <w:pPr>
        <w:numPr>
          <w:ilvl w:val="0"/>
          <w:numId w:val="10"/>
        </w:numPr>
        <w:ind w:right="101" w:hanging="374"/>
      </w:pPr>
      <w:r>
        <w:t>No longer want to continue PrEP</w:t>
      </w:r>
    </w:p>
    <w:p w14:paraId="33FCFAE9" w14:textId="77777777" w:rsidR="006B7D9D" w:rsidRDefault="004A6EB3" w:rsidP="0080519D">
      <w:pPr>
        <w:numPr>
          <w:ilvl w:val="0"/>
          <w:numId w:val="10"/>
        </w:numPr>
        <w:ind w:right="101" w:hanging="374"/>
      </w:pPr>
      <w:r>
        <w:t>Renal insufficiency</w:t>
      </w:r>
    </w:p>
    <w:p w14:paraId="0B3298E3" w14:textId="656FD46A" w:rsidR="006B7D9D" w:rsidRDefault="004A6EB3" w:rsidP="0080519D">
      <w:pPr>
        <w:numPr>
          <w:ilvl w:val="0"/>
          <w:numId w:val="10"/>
        </w:numPr>
        <w:spacing w:after="104"/>
        <w:ind w:right="101" w:hanging="374"/>
      </w:pPr>
      <w:r>
        <w:t>Reduce risk behaviors to the extent that PrEP is no longer needed</w:t>
      </w:r>
    </w:p>
    <w:p w14:paraId="0E34C452" w14:textId="77A3ED41" w:rsidR="00AE2FDA" w:rsidRDefault="00AE2FDA" w:rsidP="00DB634A">
      <w:pPr>
        <w:spacing w:after="104"/>
        <w:ind w:left="0" w:right="101" w:firstLine="0"/>
      </w:pPr>
      <w:r>
        <w:t xml:space="preserve">It is important to provide education on how to safely discontinue </w:t>
      </w:r>
      <w:proofErr w:type="spellStart"/>
      <w:r>
        <w:t>PrEP.</w:t>
      </w:r>
      <w:proofErr w:type="spellEnd"/>
      <w:r>
        <w:t xml:space="preserve">  Patients must continue to take PrEP for 28 days since their last exposure before discontinuing. </w:t>
      </w:r>
    </w:p>
    <w:p w14:paraId="2F1FE095" w14:textId="77777777" w:rsidR="006B7D9D" w:rsidRPr="00FB5EDB" w:rsidRDefault="004A6EB3">
      <w:pPr>
        <w:pStyle w:val="Heading1"/>
        <w:ind w:left="24"/>
        <w:rPr>
          <w:b/>
          <w:bCs/>
        </w:rPr>
      </w:pPr>
      <w:r w:rsidRPr="00FB5EDB">
        <w:rPr>
          <w:b/>
          <w:bCs/>
        </w:rPr>
        <w:t>Quality Assurance and Outcomes</w:t>
      </w:r>
    </w:p>
    <w:p w14:paraId="74F77CBB" w14:textId="77777777" w:rsidR="006B7D9D" w:rsidRDefault="004A6EB3">
      <w:pPr>
        <w:spacing w:after="174" w:line="259" w:lineRule="auto"/>
        <w:ind w:left="31" w:hanging="10"/>
      </w:pPr>
      <w:r>
        <w:rPr>
          <w:u w:val="single" w:color="000000"/>
        </w:rPr>
        <w:t>PrEP re-evaluation of baseline measures (6 months after implementation):</w:t>
      </w:r>
    </w:p>
    <w:p w14:paraId="55791282" w14:textId="3AEC00D2" w:rsidR="006B7D9D" w:rsidRDefault="004A6EB3" w:rsidP="0080519D">
      <w:pPr>
        <w:pStyle w:val="ListParagraph"/>
        <w:numPr>
          <w:ilvl w:val="0"/>
          <w:numId w:val="12"/>
        </w:numPr>
        <w:ind w:right="101"/>
      </w:pPr>
      <w:r>
        <w:t>Number of</w:t>
      </w:r>
      <w:r w:rsidR="0080519D">
        <w:t xml:space="preserve"> </w:t>
      </w:r>
      <w:r>
        <w:t>patients on PrEP treatment</w:t>
      </w:r>
    </w:p>
    <w:p w14:paraId="20C7F9BE" w14:textId="3B07A7A5" w:rsidR="006B7D9D" w:rsidRDefault="004A6EB3" w:rsidP="0080519D">
      <w:pPr>
        <w:pStyle w:val="ListParagraph"/>
        <w:numPr>
          <w:ilvl w:val="0"/>
          <w:numId w:val="12"/>
        </w:numPr>
        <w:ind w:right="101"/>
      </w:pPr>
      <w:r>
        <w:t>Cost outcome for third party reimbursements</w:t>
      </w:r>
    </w:p>
    <w:p w14:paraId="32C4B2CF" w14:textId="77777777" w:rsidR="006B7D9D" w:rsidRDefault="004A6EB3" w:rsidP="0080519D">
      <w:pPr>
        <w:pStyle w:val="ListParagraph"/>
        <w:numPr>
          <w:ilvl w:val="0"/>
          <w:numId w:val="12"/>
        </w:numPr>
        <w:ind w:right="101"/>
      </w:pPr>
      <w:r>
        <w:t>Adherence rate based on refill history</w:t>
      </w:r>
    </w:p>
    <w:p w14:paraId="3F0C7F4C" w14:textId="248E6938" w:rsidR="006B7D9D" w:rsidRDefault="004A6EB3" w:rsidP="0080519D">
      <w:pPr>
        <w:pStyle w:val="ListParagraph"/>
        <w:numPr>
          <w:ilvl w:val="0"/>
          <w:numId w:val="12"/>
        </w:numPr>
        <w:spacing w:after="141"/>
        <w:ind w:right="101"/>
      </w:pPr>
      <w:r>
        <w:t>Frequency of labs and follow up monitoring</w:t>
      </w:r>
    </w:p>
    <w:p w14:paraId="5D7C671E" w14:textId="77777777" w:rsidR="006B7D9D" w:rsidRDefault="004A6EB3">
      <w:pPr>
        <w:spacing w:after="174" w:line="259" w:lineRule="auto"/>
        <w:ind w:left="31" w:hanging="10"/>
      </w:pPr>
      <w:r>
        <w:rPr>
          <w:u w:val="single" w:color="000000"/>
        </w:rPr>
        <w:t>PrEP Annual Outcomes:</w:t>
      </w:r>
    </w:p>
    <w:p w14:paraId="088CC1F1" w14:textId="77777777" w:rsidR="006B7D9D" w:rsidRDefault="004A6EB3" w:rsidP="0080519D">
      <w:pPr>
        <w:numPr>
          <w:ilvl w:val="0"/>
          <w:numId w:val="13"/>
        </w:numPr>
        <w:ind w:right="101"/>
      </w:pPr>
      <w:r>
        <w:t>Number of incident cases of HIV in the PrEP clinic</w:t>
      </w:r>
    </w:p>
    <w:p w14:paraId="2DE6C758" w14:textId="3020CC47" w:rsidR="0080519D" w:rsidRDefault="004A6EB3" w:rsidP="0080519D">
      <w:pPr>
        <w:numPr>
          <w:ilvl w:val="0"/>
          <w:numId w:val="13"/>
        </w:numPr>
        <w:spacing w:after="0"/>
        <w:ind w:right="101"/>
      </w:pPr>
      <w:r>
        <w:t xml:space="preserve">Number of STIs </w:t>
      </w:r>
      <w:r w:rsidR="00186F28">
        <w:t xml:space="preserve">diagnosed </w:t>
      </w:r>
      <w:r>
        <w:t xml:space="preserve">and </w:t>
      </w:r>
      <w:proofErr w:type="gramStart"/>
      <w:r>
        <w:t>treated</w:t>
      </w:r>
      <w:proofErr w:type="gramEnd"/>
    </w:p>
    <w:p w14:paraId="1AF8FE70" w14:textId="49466D95" w:rsidR="006B7D9D" w:rsidRDefault="004A6EB3" w:rsidP="0080519D">
      <w:pPr>
        <w:numPr>
          <w:ilvl w:val="0"/>
          <w:numId w:val="13"/>
        </w:numPr>
        <w:spacing w:after="159"/>
        <w:ind w:right="101"/>
      </w:pPr>
      <w:r>
        <w:t>Cost outcome</w:t>
      </w:r>
    </w:p>
    <w:p w14:paraId="5D45D7E4" w14:textId="77777777" w:rsidR="006B7D9D" w:rsidRPr="0080519D" w:rsidRDefault="004A6EB3">
      <w:pPr>
        <w:pStyle w:val="Heading1"/>
        <w:ind w:left="24"/>
        <w:rPr>
          <w:b/>
          <w:bCs/>
        </w:rPr>
      </w:pPr>
      <w:r w:rsidRPr="0080519D">
        <w:rPr>
          <w:b/>
          <w:bCs/>
        </w:rPr>
        <w:t>Pharmacy-Run Clinic Credentialing</w:t>
      </w:r>
    </w:p>
    <w:p w14:paraId="5B78316C" w14:textId="77777777" w:rsidR="006B7D9D" w:rsidRDefault="004A6EB3">
      <w:pPr>
        <w:numPr>
          <w:ilvl w:val="0"/>
          <w:numId w:val="4"/>
        </w:numPr>
        <w:ind w:right="101" w:hanging="360"/>
      </w:pPr>
      <w:r>
        <w:t>Review most current CDC Pre-Exposure Prophylaxis guidelines and discuss with PrEP Pharmacy Clinic Director.</w:t>
      </w:r>
    </w:p>
    <w:p w14:paraId="2D0CF625" w14:textId="77777777" w:rsidR="006B7D9D" w:rsidRDefault="004A6EB3">
      <w:pPr>
        <w:tabs>
          <w:tab w:val="center" w:pos="459"/>
          <w:tab w:val="center" w:pos="4878"/>
        </w:tabs>
        <w:ind w:left="0" w:firstLine="0"/>
      </w:pPr>
      <w:r>
        <w:tab/>
      </w:r>
      <w:r>
        <w:rPr>
          <w:noProof/>
        </w:rPr>
        <w:drawing>
          <wp:inline distT="0" distB="0" distL="0" distR="0" wp14:anchorId="77D24169" wp14:editId="5824529A">
            <wp:extent cx="32004" cy="9144"/>
            <wp:effectExtent l="0" t="0" r="0" b="0"/>
            <wp:docPr id="7933" name="Picture 7933"/>
            <wp:cNvGraphicFramePr/>
            <a:graphic xmlns:a="http://schemas.openxmlformats.org/drawingml/2006/main">
              <a:graphicData uri="http://schemas.openxmlformats.org/drawingml/2006/picture">
                <pic:pic xmlns:pic="http://schemas.openxmlformats.org/drawingml/2006/picture">
                  <pic:nvPicPr>
                    <pic:cNvPr id="7933" name="Picture 7933"/>
                    <pic:cNvPicPr/>
                  </pic:nvPicPr>
                  <pic:blipFill>
                    <a:blip r:embed="rId9"/>
                    <a:stretch>
                      <a:fillRect/>
                    </a:stretch>
                  </pic:blipFill>
                  <pic:spPr>
                    <a:xfrm>
                      <a:off x="0" y="0"/>
                      <a:ext cx="32004" cy="9144"/>
                    </a:xfrm>
                    <a:prstGeom prst="rect">
                      <a:avLst/>
                    </a:prstGeom>
                  </pic:spPr>
                </pic:pic>
              </a:graphicData>
            </a:graphic>
          </wp:inline>
        </w:drawing>
      </w:r>
      <w:r>
        <w:tab/>
        <w:t>Complete patient case for initial competency and review with PrEP Pharmacy Clinic Director.</w:t>
      </w:r>
    </w:p>
    <w:p w14:paraId="654BB139" w14:textId="77777777" w:rsidR="006B7D9D" w:rsidRDefault="004A6EB3">
      <w:pPr>
        <w:numPr>
          <w:ilvl w:val="0"/>
          <w:numId w:val="4"/>
        </w:numPr>
        <w:ind w:right="101" w:hanging="360"/>
      </w:pPr>
      <w:r>
        <w:t>Complete annual competency as assigned by PrEP Pharmacy Clinic Director.</w:t>
      </w:r>
    </w:p>
    <w:p w14:paraId="48777CEB" w14:textId="77777777" w:rsidR="0080519D" w:rsidRDefault="004A6EB3" w:rsidP="0080519D">
      <w:pPr>
        <w:numPr>
          <w:ilvl w:val="0"/>
          <w:numId w:val="4"/>
        </w:numPr>
        <w:ind w:right="101" w:hanging="360"/>
      </w:pPr>
      <w:r>
        <w:t>Participate and receive chart review as assigned by PrEP Pharmacy Clinic Director.</w:t>
      </w:r>
    </w:p>
    <w:p w14:paraId="6E980EF4" w14:textId="543DCD23" w:rsidR="0080519D" w:rsidRDefault="004A6EB3" w:rsidP="0080519D">
      <w:pPr>
        <w:numPr>
          <w:ilvl w:val="0"/>
          <w:numId w:val="4"/>
        </w:numPr>
        <w:ind w:right="101" w:hanging="360"/>
      </w:pPr>
      <w:r>
        <w:t>Complete 5 visits with PrEP Pharmacy Clinic Director or previously trained pharmacist.</w:t>
      </w:r>
    </w:p>
    <w:p w14:paraId="17EB58C2" w14:textId="4E27F969" w:rsidR="006B7D9D" w:rsidRDefault="004A6EB3" w:rsidP="0080519D">
      <w:pPr>
        <w:numPr>
          <w:ilvl w:val="0"/>
          <w:numId w:val="4"/>
        </w:numPr>
        <w:ind w:right="101" w:hanging="360"/>
      </w:pPr>
      <w:r>
        <w:lastRenderedPageBreak/>
        <w:t>Attain 2 hours of continuing education relevant to disease state.</w:t>
      </w:r>
    </w:p>
    <w:p w14:paraId="0471E7EA" w14:textId="77777777" w:rsidR="0080519D" w:rsidRDefault="0080519D" w:rsidP="0080519D">
      <w:pPr>
        <w:ind w:right="101"/>
      </w:pPr>
    </w:p>
    <w:p w14:paraId="3AB8CB24" w14:textId="77777777" w:rsidR="006B7D9D" w:rsidRPr="0080519D" w:rsidRDefault="004A6EB3">
      <w:pPr>
        <w:pStyle w:val="Heading1"/>
        <w:ind w:left="24"/>
        <w:rPr>
          <w:b/>
          <w:bCs/>
        </w:rPr>
      </w:pPr>
      <w:r w:rsidRPr="0080519D">
        <w:rPr>
          <w:b/>
          <w:bCs/>
        </w:rPr>
        <w:t>Business Plan</w:t>
      </w:r>
    </w:p>
    <w:p w14:paraId="5E55F48D" w14:textId="3366A9F2" w:rsidR="006B7D9D" w:rsidRDefault="004A6EB3">
      <w:pPr>
        <w:ind w:left="7" w:right="101"/>
      </w:pPr>
      <w:r>
        <w:t xml:space="preserve">The PrEP Pharmacy Run Clinic will continue to work toward becoming a reimbursable service. The clinic, as its primary billing objective, will continue to seek "provider-deemed" status for IHS pharmacist providers from CMS and </w:t>
      </w:r>
      <w:r w:rsidR="0080519D">
        <w:t>third-party</w:t>
      </w:r>
      <w:r>
        <w:t xml:space="preserve"> payers. In addition, the clinic will attempt to collect reimbursement through the recent Current Procedural Terminology (CPT) billing codes to bill third-party payers when providing Medication Therapy Management (MTM) services.</w:t>
      </w:r>
    </w:p>
    <w:p w14:paraId="1C1B1B08" w14:textId="77777777" w:rsidR="00A96C86" w:rsidRDefault="00A96C86">
      <w:pPr>
        <w:spacing w:after="196"/>
        <w:ind w:left="86" w:right="101"/>
      </w:pPr>
    </w:p>
    <w:p w14:paraId="2293A236" w14:textId="56E8D4C7" w:rsidR="006B7D9D" w:rsidRPr="00A96C86" w:rsidRDefault="004A6EB3">
      <w:pPr>
        <w:spacing w:after="196"/>
        <w:ind w:left="86" w:right="101"/>
        <w:rPr>
          <w:b/>
          <w:bCs/>
        </w:rPr>
      </w:pPr>
      <w:r w:rsidRPr="00A96C86">
        <w:rPr>
          <w:b/>
          <w:bCs/>
        </w:rPr>
        <w:t>References</w:t>
      </w:r>
    </w:p>
    <w:p w14:paraId="14C2B50E" w14:textId="77777777" w:rsidR="006B7D9D" w:rsidRDefault="004A6EB3">
      <w:pPr>
        <w:numPr>
          <w:ilvl w:val="0"/>
          <w:numId w:val="5"/>
        </w:numPr>
        <w:spacing w:after="193"/>
        <w:ind w:right="158" w:hanging="353"/>
        <w:jc w:val="both"/>
      </w:pPr>
      <w:r>
        <w:t xml:space="preserve">CDC website. </w:t>
      </w:r>
      <w:r>
        <w:rPr>
          <w:u w:val="single" w:color="000000"/>
        </w:rPr>
        <w:t>http://www.cdc.gov/hiv/</w:t>
      </w:r>
      <w:r>
        <w:t>. Accessed 7/12/20</w:t>
      </w:r>
    </w:p>
    <w:p w14:paraId="0CA89FD9" w14:textId="77777777" w:rsidR="006B7D9D" w:rsidRDefault="004A6EB3">
      <w:pPr>
        <w:numPr>
          <w:ilvl w:val="0"/>
          <w:numId w:val="5"/>
        </w:numPr>
        <w:spacing w:after="22" w:line="245" w:lineRule="auto"/>
        <w:ind w:right="158" w:hanging="353"/>
        <w:jc w:val="both"/>
      </w:pPr>
      <w:r>
        <w:t xml:space="preserve">Centers for Disease Control and Prevention. Preexposure Prophylaxis for HIV Prevention in the United States — 2017. A Clinical Practice Guideline. Available at: </w:t>
      </w:r>
      <w:r>
        <w:rPr>
          <w:u w:val="single" w:color="000000"/>
        </w:rPr>
        <w:t>http://www.cdc.gov/hiv/pdf/risk/prep/cdc-hiv-prep-guidelines-2017.pdf</w:t>
      </w:r>
      <w:r>
        <w:t>.</w:t>
      </w:r>
    </w:p>
    <w:p w14:paraId="3C08FF6E" w14:textId="77777777" w:rsidR="006B7D9D" w:rsidRDefault="004A6EB3">
      <w:pPr>
        <w:numPr>
          <w:ilvl w:val="0"/>
          <w:numId w:val="5"/>
        </w:numPr>
        <w:spacing w:after="83" w:line="245" w:lineRule="auto"/>
        <w:ind w:right="158" w:hanging="353"/>
        <w:jc w:val="both"/>
      </w:pPr>
      <w:r>
        <w:t xml:space="preserve">FJ Walker, E </w:t>
      </w:r>
      <w:proofErr w:type="spellStart"/>
      <w:r>
        <w:t>Llata</w:t>
      </w:r>
      <w:proofErr w:type="spellEnd"/>
      <w:r>
        <w:t xml:space="preserve">, M </w:t>
      </w:r>
      <w:proofErr w:type="spellStart"/>
      <w:r>
        <w:t>Doshani</w:t>
      </w:r>
      <w:proofErr w:type="spellEnd"/>
      <w:r>
        <w:t>, MM Taylor, J Bertolli, HS Weinstock, et al. HIV, chlamydia, gonorrhea, and primary and secondary syphilis among American Indians and Alaska Natives within Indian Health Service areas in the United States, 2007-2010. Journal of Community Health, 2015. 40:484-492.</w:t>
      </w:r>
      <w:r>
        <w:br w:type="page"/>
      </w:r>
    </w:p>
    <w:p w14:paraId="403BF042" w14:textId="77777777" w:rsidR="006B7D9D" w:rsidRDefault="004A6EB3">
      <w:pPr>
        <w:pStyle w:val="Heading1"/>
        <w:spacing w:after="111"/>
        <w:ind w:left="274" w:firstLine="0"/>
        <w:jc w:val="center"/>
      </w:pPr>
      <w:r>
        <w:rPr>
          <w:u w:val="single" w:color="000000"/>
        </w:rPr>
        <w:lastRenderedPageBreak/>
        <w:t>Appendix</w:t>
      </w:r>
    </w:p>
    <w:p w14:paraId="567CF0E3" w14:textId="38CDA3DE" w:rsidR="006B7D9D" w:rsidRDefault="004A6EB3">
      <w:pPr>
        <w:spacing w:after="148"/>
        <w:ind w:left="58" w:right="101"/>
      </w:pPr>
      <w:r>
        <w:t>Flow cha</w:t>
      </w:r>
      <w:r w:rsidR="00A96C86">
        <w:t>rt</w:t>
      </w:r>
      <w:r>
        <w:t xml:space="preserve"> of clinic visits:</w:t>
      </w:r>
    </w:p>
    <w:p w14:paraId="1232174C" w14:textId="77777777" w:rsidR="006B7D9D" w:rsidRDefault="004A6EB3">
      <w:pPr>
        <w:spacing w:after="214"/>
        <w:ind w:left="58" w:right="101"/>
      </w:pPr>
      <w:r>
        <w:t>Referral/First visit:</w:t>
      </w:r>
    </w:p>
    <w:p w14:paraId="26B4887E" w14:textId="77777777" w:rsidR="006B7D9D" w:rsidRDefault="004A6EB3">
      <w:pPr>
        <w:numPr>
          <w:ilvl w:val="0"/>
          <w:numId w:val="6"/>
        </w:numPr>
        <w:ind w:right="101"/>
      </w:pPr>
      <w:r>
        <w:t>Negative HIV viral load and antibody test at baseline</w:t>
      </w:r>
    </w:p>
    <w:p w14:paraId="0580B790" w14:textId="77777777" w:rsidR="00A96C86" w:rsidRDefault="004A6EB3">
      <w:pPr>
        <w:numPr>
          <w:ilvl w:val="0"/>
          <w:numId w:val="6"/>
        </w:numPr>
        <w:ind w:right="101"/>
      </w:pPr>
      <w:r>
        <w:t xml:space="preserve">CMP </w:t>
      </w:r>
    </w:p>
    <w:p w14:paraId="76E500FE" w14:textId="6E9B9954" w:rsidR="006B7D9D" w:rsidRDefault="004A6EB3">
      <w:pPr>
        <w:numPr>
          <w:ilvl w:val="0"/>
          <w:numId w:val="6"/>
        </w:numPr>
        <w:ind w:right="101"/>
      </w:pPr>
      <w:r>
        <w:t>CBC</w:t>
      </w:r>
    </w:p>
    <w:p w14:paraId="4A640B75" w14:textId="77777777" w:rsidR="006B7D9D" w:rsidRDefault="004A6EB3">
      <w:pPr>
        <w:numPr>
          <w:ilvl w:val="0"/>
          <w:numId w:val="6"/>
        </w:numPr>
        <w:ind w:right="101"/>
      </w:pPr>
      <w:r>
        <w:t>RPR</w:t>
      </w:r>
    </w:p>
    <w:p w14:paraId="7B1852A7" w14:textId="77777777" w:rsidR="006B7D9D" w:rsidRDefault="004A6EB3" w:rsidP="00A96C86">
      <w:pPr>
        <w:numPr>
          <w:ilvl w:val="0"/>
          <w:numId w:val="6"/>
        </w:numPr>
        <w:spacing w:after="0"/>
        <w:ind w:right="101"/>
      </w:pPr>
      <w:r>
        <w:t>Chlamydia/gonorrhea</w:t>
      </w:r>
    </w:p>
    <w:p w14:paraId="6F27D7FC" w14:textId="77777777" w:rsidR="006B7D9D" w:rsidRDefault="004A6EB3">
      <w:pPr>
        <w:numPr>
          <w:ilvl w:val="0"/>
          <w:numId w:val="6"/>
        </w:numPr>
        <w:ind w:right="101"/>
      </w:pPr>
      <w:r>
        <w:t>Hepatitis serology</w:t>
      </w:r>
    </w:p>
    <w:p w14:paraId="6695E08C" w14:textId="77777777" w:rsidR="006B7D9D" w:rsidRDefault="004A6EB3">
      <w:pPr>
        <w:numPr>
          <w:ilvl w:val="0"/>
          <w:numId w:val="6"/>
        </w:numPr>
        <w:spacing w:after="304"/>
        <w:ind w:right="101"/>
      </w:pPr>
      <w:r>
        <w:t>Pregnancy test as appropriate</w:t>
      </w:r>
    </w:p>
    <w:p w14:paraId="1ED43A65" w14:textId="77777777" w:rsidR="006B7D9D" w:rsidRDefault="004A6EB3">
      <w:pPr>
        <w:spacing w:after="212"/>
        <w:ind w:left="43" w:right="101"/>
      </w:pPr>
      <w:r>
        <w:t>One month visit:</w:t>
      </w:r>
    </w:p>
    <w:p w14:paraId="412EE4D1" w14:textId="77777777" w:rsidR="00A96C86" w:rsidRDefault="004A6EB3">
      <w:pPr>
        <w:numPr>
          <w:ilvl w:val="0"/>
          <w:numId w:val="6"/>
        </w:numPr>
        <w:ind w:right="101"/>
      </w:pPr>
      <w:r>
        <w:t xml:space="preserve">Assess adherence and commitment to PrEP </w:t>
      </w:r>
      <w:proofErr w:type="gramStart"/>
      <w:r>
        <w:t>regimen</w:t>
      </w:r>
      <w:proofErr w:type="gramEnd"/>
      <w:r>
        <w:t xml:space="preserve"> </w:t>
      </w:r>
    </w:p>
    <w:p w14:paraId="4ED0FEDF" w14:textId="6F8F0174" w:rsidR="006B7D9D" w:rsidRDefault="004A6EB3">
      <w:pPr>
        <w:numPr>
          <w:ilvl w:val="0"/>
          <w:numId w:val="6"/>
        </w:numPr>
        <w:ind w:right="101"/>
      </w:pPr>
      <w:r>
        <w:t xml:space="preserve">Discuss risk reduction and motivate the use of </w:t>
      </w:r>
      <w:proofErr w:type="gramStart"/>
      <w:r>
        <w:t>condoms</w:t>
      </w:r>
      <w:proofErr w:type="gramEnd"/>
    </w:p>
    <w:p w14:paraId="42CE841B" w14:textId="77777777" w:rsidR="006B7D9D" w:rsidRDefault="004A6EB3" w:rsidP="00A96C86">
      <w:pPr>
        <w:numPr>
          <w:ilvl w:val="0"/>
          <w:numId w:val="6"/>
        </w:numPr>
        <w:spacing w:after="0"/>
        <w:ind w:right="101"/>
      </w:pPr>
      <w:r>
        <w:t>Assess side effects</w:t>
      </w:r>
    </w:p>
    <w:p w14:paraId="5D7E7523" w14:textId="77777777" w:rsidR="00A96C86" w:rsidRDefault="004A6EB3" w:rsidP="00A96C86">
      <w:pPr>
        <w:numPr>
          <w:ilvl w:val="0"/>
          <w:numId w:val="6"/>
        </w:numPr>
        <w:spacing w:after="0"/>
        <w:ind w:right="101"/>
      </w:pPr>
      <w:r>
        <w:t xml:space="preserve">Patient will now visit clinic every 3 </w:t>
      </w:r>
      <w:proofErr w:type="gramStart"/>
      <w:r>
        <w:t>months</w:t>
      </w:r>
      <w:proofErr w:type="gramEnd"/>
      <w:r>
        <w:t xml:space="preserve"> </w:t>
      </w:r>
    </w:p>
    <w:p w14:paraId="07AEEA83" w14:textId="317F3C48" w:rsidR="006B7D9D" w:rsidRDefault="004A6EB3">
      <w:pPr>
        <w:numPr>
          <w:ilvl w:val="0"/>
          <w:numId w:val="6"/>
        </w:numPr>
        <w:spacing w:after="186"/>
        <w:ind w:right="101"/>
      </w:pPr>
      <w:r>
        <w:t>Pregnancy testing &amp; pregnancy intent</w:t>
      </w:r>
    </w:p>
    <w:p w14:paraId="5C6749E0" w14:textId="5A96744A" w:rsidR="006B7D9D" w:rsidRDefault="00A96C86">
      <w:pPr>
        <w:spacing w:after="211"/>
        <w:ind w:left="29" w:right="101"/>
      </w:pPr>
      <w:r>
        <w:t>Three-month</w:t>
      </w:r>
      <w:r w:rsidR="004A6EB3">
        <w:t xml:space="preserve"> visit:</w:t>
      </w:r>
    </w:p>
    <w:p w14:paraId="018A0F9D" w14:textId="77777777" w:rsidR="006B7D9D" w:rsidRDefault="004A6EB3" w:rsidP="00A96C86">
      <w:pPr>
        <w:numPr>
          <w:ilvl w:val="0"/>
          <w:numId w:val="6"/>
        </w:numPr>
        <w:spacing w:after="0"/>
        <w:ind w:right="101"/>
      </w:pPr>
      <w:r>
        <w:t>Renal function at first three month visit then every 6 months thereafter</w:t>
      </w:r>
    </w:p>
    <w:p w14:paraId="2885A977" w14:textId="77777777" w:rsidR="006B7D9D" w:rsidRDefault="004A6EB3">
      <w:pPr>
        <w:numPr>
          <w:ilvl w:val="0"/>
          <w:numId w:val="6"/>
        </w:numPr>
        <w:ind w:right="101"/>
      </w:pPr>
      <w:r>
        <w:t>Assess adherence and commitment to PrEP regimen</w:t>
      </w:r>
    </w:p>
    <w:p w14:paraId="2AC31340" w14:textId="77777777" w:rsidR="006B7D9D" w:rsidRDefault="004A6EB3" w:rsidP="00A96C86">
      <w:pPr>
        <w:numPr>
          <w:ilvl w:val="0"/>
          <w:numId w:val="6"/>
        </w:numPr>
        <w:spacing w:after="0"/>
        <w:ind w:right="101"/>
      </w:pPr>
      <w:r>
        <w:t>Discuss risk reduction and motivate the use of condoms</w:t>
      </w:r>
    </w:p>
    <w:p w14:paraId="18C63523" w14:textId="77777777" w:rsidR="006B7D9D" w:rsidRDefault="004A6EB3" w:rsidP="00A96C86">
      <w:pPr>
        <w:numPr>
          <w:ilvl w:val="0"/>
          <w:numId w:val="6"/>
        </w:numPr>
        <w:spacing w:after="0"/>
        <w:ind w:right="101"/>
      </w:pPr>
      <w:r>
        <w:t>Assess side effects and HIV risk acquisition behaviors</w:t>
      </w:r>
    </w:p>
    <w:p w14:paraId="06F1485D" w14:textId="77777777" w:rsidR="006B7D9D" w:rsidRDefault="004A6EB3" w:rsidP="00A96C86">
      <w:pPr>
        <w:numPr>
          <w:ilvl w:val="0"/>
          <w:numId w:val="6"/>
        </w:numPr>
        <w:spacing w:after="0"/>
        <w:ind w:right="101"/>
      </w:pPr>
      <w:r>
        <w:t>HIV testing</w:t>
      </w:r>
    </w:p>
    <w:p w14:paraId="535E3E63" w14:textId="77777777" w:rsidR="00A96C86" w:rsidRDefault="004A6EB3" w:rsidP="00A96C86">
      <w:pPr>
        <w:numPr>
          <w:ilvl w:val="0"/>
          <w:numId w:val="6"/>
        </w:numPr>
        <w:spacing w:after="0"/>
        <w:ind w:right="101"/>
      </w:pPr>
      <w:r>
        <w:t>STI testing</w:t>
      </w:r>
    </w:p>
    <w:p w14:paraId="6D83FD4E" w14:textId="77777777" w:rsidR="00A96C86" w:rsidRDefault="004A6EB3" w:rsidP="00A96C86">
      <w:pPr>
        <w:numPr>
          <w:ilvl w:val="0"/>
          <w:numId w:val="6"/>
        </w:numPr>
        <w:spacing w:after="0"/>
        <w:ind w:right="101"/>
      </w:pPr>
      <w:r>
        <w:t xml:space="preserve">pregnancy testing &amp; pregnancy </w:t>
      </w:r>
      <w:proofErr w:type="gramStart"/>
      <w:r>
        <w:t>intent</w:t>
      </w:r>
      <w:proofErr w:type="gramEnd"/>
      <w:r>
        <w:t xml:space="preserve"> </w:t>
      </w:r>
    </w:p>
    <w:p w14:paraId="7171BBEF" w14:textId="2931E717" w:rsidR="006B7D9D" w:rsidRDefault="00A96C86" w:rsidP="00A96C86">
      <w:pPr>
        <w:numPr>
          <w:ilvl w:val="0"/>
          <w:numId w:val="6"/>
        </w:numPr>
        <w:spacing w:after="0"/>
        <w:ind w:right="101"/>
      </w:pPr>
      <w:r>
        <w:t>E</w:t>
      </w:r>
      <w:r w:rsidR="004A6EB3">
        <w:t xml:space="preserve">valuate need to continue </w:t>
      </w:r>
      <w:proofErr w:type="gramStart"/>
      <w:r w:rsidR="004A6EB3">
        <w:t>PrEP</w:t>
      </w:r>
      <w:proofErr w:type="gramEnd"/>
    </w:p>
    <w:p w14:paraId="6C983BC3" w14:textId="77777777" w:rsidR="00A96C86" w:rsidRDefault="00A96C86">
      <w:pPr>
        <w:spacing w:after="176"/>
        <w:ind w:left="22" w:right="101"/>
      </w:pPr>
    </w:p>
    <w:p w14:paraId="3343C576" w14:textId="532925B4" w:rsidR="006B7D9D" w:rsidRDefault="00A96C86">
      <w:pPr>
        <w:spacing w:after="176"/>
        <w:ind w:left="22" w:right="101"/>
      </w:pPr>
      <w:r>
        <w:t>Six-month</w:t>
      </w:r>
      <w:r w:rsidR="004A6EB3">
        <w:t xml:space="preserve"> visit:</w:t>
      </w:r>
    </w:p>
    <w:p w14:paraId="49FB04E0" w14:textId="4951EA0A" w:rsidR="006B7D9D" w:rsidRDefault="004A6EB3">
      <w:pPr>
        <w:spacing w:after="189"/>
        <w:ind w:left="7" w:right="101"/>
      </w:pPr>
      <w:r>
        <w:t xml:space="preserve">In addition to all labs listed under </w:t>
      </w:r>
      <w:r w:rsidR="00A96C86">
        <w:t>three-month</w:t>
      </w:r>
      <w:r>
        <w:t xml:space="preserve"> visit, also collect,</w:t>
      </w:r>
    </w:p>
    <w:p w14:paraId="3DF6EA61" w14:textId="77777777" w:rsidR="006B7D9D" w:rsidRDefault="004A6EB3">
      <w:pPr>
        <w:numPr>
          <w:ilvl w:val="0"/>
          <w:numId w:val="6"/>
        </w:numPr>
        <w:spacing w:after="63"/>
        <w:ind w:right="101"/>
      </w:pPr>
      <w:r>
        <w:t>Renal function (serum creatinine and creatinine clearance)</w:t>
      </w:r>
    </w:p>
    <w:p w14:paraId="448A5F62" w14:textId="30FFE9BE" w:rsidR="006B7D9D" w:rsidRDefault="00A96C86">
      <w:pPr>
        <w:spacing w:after="211"/>
        <w:ind w:left="0" w:right="101"/>
      </w:pPr>
      <w:r>
        <w:t>Twelve-month</w:t>
      </w:r>
      <w:r w:rsidR="004A6EB3">
        <w:t xml:space="preserve"> visit:</w:t>
      </w:r>
    </w:p>
    <w:p w14:paraId="0B7A0BC5" w14:textId="77777777" w:rsidR="006B7D9D" w:rsidRDefault="004A6EB3">
      <w:pPr>
        <w:numPr>
          <w:ilvl w:val="0"/>
          <w:numId w:val="6"/>
        </w:numPr>
        <w:ind w:right="101"/>
      </w:pPr>
      <w:r>
        <w:t>Must be seen by a PCP or referring provider</w:t>
      </w:r>
    </w:p>
    <w:p w14:paraId="59B751CF" w14:textId="77777777" w:rsidR="00A96C86" w:rsidRDefault="004A6EB3">
      <w:pPr>
        <w:numPr>
          <w:ilvl w:val="0"/>
          <w:numId w:val="6"/>
        </w:numPr>
        <w:ind w:right="101"/>
      </w:pPr>
      <w:r>
        <w:t xml:space="preserve">In addition to all three month visit requirements, </w:t>
      </w:r>
    </w:p>
    <w:p w14:paraId="10CFDE90" w14:textId="77777777" w:rsidR="00A96C86" w:rsidRDefault="004A6EB3">
      <w:pPr>
        <w:numPr>
          <w:ilvl w:val="0"/>
          <w:numId w:val="6"/>
        </w:numPr>
        <w:ind w:right="101"/>
      </w:pPr>
      <w:r>
        <w:t xml:space="preserve">Renal function (serum creatinine and creatinine clearance) </w:t>
      </w:r>
    </w:p>
    <w:p w14:paraId="64223DE2" w14:textId="5CB0E89C" w:rsidR="006B7D9D" w:rsidRDefault="004A6EB3">
      <w:pPr>
        <w:numPr>
          <w:ilvl w:val="0"/>
          <w:numId w:val="6"/>
        </w:numPr>
        <w:ind w:right="101"/>
      </w:pPr>
      <w:r>
        <w:t>Hepatic panel</w:t>
      </w:r>
    </w:p>
    <w:sectPr w:rsidR="006B7D9D">
      <w:footerReference w:type="even" r:id="rId10"/>
      <w:footerReference w:type="default" r:id="rId11"/>
      <w:footerReference w:type="first" r:id="rId12"/>
      <w:pgSz w:w="12240" w:h="15840"/>
      <w:pgMar w:top="1421" w:right="1354" w:bottom="1523" w:left="1476" w:header="720"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6DCEF" w14:textId="77777777" w:rsidR="003002A6" w:rsidRDefault="003002A6">
      <w:pPr>
        <w:spacing w:after="0" w:line="240" w:lineRule="auto"/>
      </w:pPr>
      <w:r>
        <w:separator/>
      </w:r>
    </w:p>
  </w:endnote>
  <w:endnote w:type="continuationSeparator" w:id="0">
    <w:p w14:paraId="6F0C1511" w14:textId="77777777" w:rsidR="003002A6" w:rsidRDefault="00300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9EF83" w14:textId="77777777" w:rsidR="006B7D9D" w:rsidRDefault="004A6EB3">
    <w:pPr>
      <w:spacing w:after="0" w:line="259" w:lineRule="auto"/>
      <w:ind w:left="22" w:firstLine="0"/>
    </w:pPr>
    <w:r>
      <w:t>Approved: 8/2020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2D883" w14:textId="77777777" w:rsidR="006B7D9D" w:rsidRDefault="004A6EB3">
    <w:pPr>
      <w:spacing w:after="0" w:line="259" w:lineRule="auto"/>
      <w:ind w:left="22" w:firstLine="0"/>
    </w:pPr>
    <w:r>
      <w:t>Approved: 8/2020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FA530" w14:textId="77777777" w:rsidR="006B7D9D" w:rsidRDefault="004A6EB3">
    <w:pPr>
      <w:spacing w:after="0" w:line="259" w:lineRule="auto"/>
      <w:ind w:left="22" w:firstLine="0"/>
    </w:pPr>
    <w:r>
      <w:t>Approved: 8/2020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66476" w14:textId="77777777" w:rsidR="003002A6" w:rsidRDefault="003002A6">
      <w:pPr>
        <w:spacing w:after="0" w:line="240" w:lineRule="auto"/>
      </w:pPr>
      <w:r>
        <w:separator/>
      </w:r>
    </w:p>
  </w:footnote>
  <w:footnote w:type="continuationSeparator" w:id="0">
    <w:p w14:paraId="3992961C" w14:textId="77777777" w:rsidR="003002A6" w:rsidRDefault="003002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164" style="width:4.2pt;height:4.2pt" coordsize="" o:spt="100" o:bullet="t" adj="0,,0" path="" stroked="f">
        <v:stroke joinstyle="miter"/>
        <v:imagedata r:id="rId1" o:title="image25"/>
        <v:formulas/>
        <v:path o:connecttype="segments"/>
      </v:shape>
    </w:pict>
  </w:numPicBullet>
  <w:numPicBullet w:numPicBulletId="1">
    <w:pict>
      <v:shape id="_x0000_i1165" style="width:.45pt;height:.45pt" coordsize="" o:spt="100" o:bullet="t" adj="0,,0" path="" stroked="f">
        <v:stroke joinstyle="miter"/>
        <v:imagedata r:id="rId2" o:title="image26"/>
        <v:formulas/>
        <v:path o:connecttype="segments"/>
      </v:shape>
    </w:pict>
  </w:numPicBullet>
  <w:numPicBullet w:numPicBulletId="2">
    <w:pict>
      <v:shape id="_x0000_i1166" style="width:1.4pt;height:.45pt" coordsize="" o:spt="100" o:bullet="t" adj="0,,0" path="" stroked="f">
        <v:stroke joinstyle="miter"/>
        <v:imagedata r:id="rId3" o:title="image27"/>
        <v:formulas/>
        <v:path o:connecttype="segments"/>
      </v:shape>
    </w:pict>
  </w:numPicBullet>
  <w:numPicBullet w:numPicBulletId="3">
    <w:pict>
      <v:shape id="_x0000_i1167" style="width:.45pt;height:.45pt" coordsize="" o:spt="100" o:bullet="t" adj="0,,0" path="" stroked="f">
        <v:stroke joinstyle="miter"/>
        <v:imagedata r:id="rId4" o:title="image28"/>
        <v:formulas/>
        <v:path o:connecttype="segments"/>
      </v:shape>
    </w:pict>
  </w:numPicBullet>
  <w:numPicBullet w:numPicBulletId="4">
    <w:pict>
      <v:shape id="_x0000_i1168" style="width:4.7pt;height:4.2pt" coordsize="" o:spt="100" o:bullet="t" adj="0,,0" path="" stroked="f">
        <v:stroke joinstyle="miter"/>
        <v:imagedata r:id="rId5" o:title="image29"/>
        <v:formulas/>
        <v:path o:connecttype="segments"/>
      </v:shape>
    </w:pict>
  </w:numPicBullet>
  <w:numPicBullet w:numPicBulletId="5">
    <w:pict>
      <v:shape id="_x0000_i1169" style="width:5.6pt;height:4.7pt" coordsize="" o:spt="100" o:bullet="t" adj="0,,0" path="" stroked="f">
        <v:stroke joinstyle="miter"/>
        <v:imagedata r:id="rId6" o:title="image30"/>
        <v:formulas/>
        <v:path o:connecttype="segments"/>
      </v:shape>
    </w:pict>
  </w:numPicBullet>
  <w:numPicBullet w:numPicBulletId="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0" type="#_x0000_t75" style="width:7.5pt;height:9.35pt;visibility:visible;mso-wrap-style:square" o:bullet="t">
        <v:imagedata r:id="rId7" o:title=""/>
      </v:shape>
    </w:pict>
  </w:numPicBullet>
  <w:abstractNum w:abstractNumId="0" w15:restartNumberingAfterBreak="0">
    <w:nsid w:val="06E948E3"/>
    <w:multiLevelType w:val="hybridMultilevel"/>
    <w:tmpl w:val="E03E4AFA"/>
    <w:lvl w:ilvl="0" w:tplc="C862EB5C">
      <w:start w:val="1"/>
      <w:numFmt w:val="bullet"/>
      <w:lvlText w:val="•"/>
      <w:lvlPicBulletId w:val="4"/>
      <w:lvlJc w:val="left"/>
      <w:pPr>
        <w:ind w:left="7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66B486">
      <w:start w:val="1"/>
      <w:numFmt w:val="bullet"/>
      <w:lvlText w:val="o"/>
      <w:lvlJc w:val="left"/>
      <w:pPr>
        <w:ind w:left="17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DE4022C">
      <w:start w:val="1"/>
      <w:numFmt w:val="bullet"/>
      <w:lvlText w:val="▪"/>
      <w:lvlJc w:val="left"/>
      <w:pPr>
        <w:ind w:left="25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E6242B4">
      <w:start w:val="1"/>
      <w:numFmt w:val="bullet"/>
      <w:lvlText w:val="•"/>
      <w:lvlJc w:val="left"/>
      <w:pPr>
        <w:ind w:left="32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F23062">
      <w:start w:val="1"/>
      <w:numFmt w:val="bullet"/>
      <w:lvlText w:val="o"/>
      <w:lvlJc w:val="left"/>
      <w:pPr>
        <w:ind w:left="39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DCE25D8">
      <w:start w:val="1"/>
      <w:numFmt w:val="bullet"/>
      <w:lvlText w:val="▪"/>
      <w:lvlJc w:val="left"/>
      <w:pPr>
        <w:ind w:left="4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76D1F0">
      <w:start w:val="1"/>
      <w:numFmt w:val="bullet"/>
      <w:lvlText w:val="•"/>
      <w:lvlJc w:val="left"/>
      <w:pPr>
        <w:ind w:left="5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CC6601A">
      <w:start w:val="1"/>
      <w:numFmt w:val="bullet"/>
      <w:lvlText w:val="o"/>
      <w:lvlJc w:val="left"/>
      <w:pPr>
        <w:ind w:left="6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CE14C8">
      <w:start w:val="1"/>
      <w:numFmt w:val="bullet"/>
      <w:lvlText w:val="▪"/>
      <w:lvlJc w:val="left"/>
      <w:pPr>
        <w:ind w:left="6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AB1F51"/>
    <w:multiLevelType w:val="hybridMultilevel"/>
    <w:tmpl w:val="3CB8AFA2"/>
    <w:lvl w:ilvl="0" w:tplc="670833C8">
      <w:start w:val="1"/>
      <w:numFmt w:val="bullet"/>
      <w:lvlText w:val=""/>
      <w:lvlPicBulletId w:val="6"/>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A003E"/>
    <w:multiLevelType w:val="hybridMultilevel"/>
    <w:tmpl w:val="0C8CAC42"/>
    <w:lvl w:ilvl="0" w:tplc="0762ACC2">
      <w:start w:val="1"/>
      <w:numFmt w:val="bullet"/>
      <w:lvlText w:val="•"/>
      <w:lvlPicBulletId w:val="3"/>
      <w:lvlJc w:val="left"/>
      <w:pPr>
        <w:ind w:left="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8ACB3A">
      <w:start w:val="1"/>
      <w:numFmt w:val="bullet"/>
      <w:lvlText w:val="o"/>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77E4F18">
      <w:start w:val="1"/>
      <w:numFmt w:val="bullet"/>
      <w:lvlText w:val="▪"/>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3A76F8">
      <w:start w:val="1"/>
      <w:numFmt w:val="bullet"/>
      <w:lvlText w:val="•"/>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A689294">
      <w:start w:val="1"/>
      <w:numFmt w:val="bullet"/>
      <w:lvlText w:val="o"/>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3AC62C4">
      <w:start w:val="1"/>
      <w:numFmt w:val="bullet"/>
      <w:lvlText w:val="▪"/>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46C256">
      <w:start w:val="1"/>
      <w:numFmt w:val="bullet"/>
      <w:lvlText w:val="•"/>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F69920">
      <w:start w:val="1"/>
      <w:numFmt w:val="bullet"/>
      <w:lvlText w:val="o"/>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B4A36A">
      <w:start w:val="1"/>
      <w:numFmt w:val="bullet"/>
      <w:lvlText w:val="▪"/>
      <w:lvlJc w:val="left"/>
      <w:pPr>
        <w:ind w:left="68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04A7D26"/>
    <w:multiLevelType w:val="hybridMultilevel"/>
    <w:tmpl w:val="D4DC8B6A"/>
    <w:lvl w:ilvl="0" w:tplc="670833C8">
      <w:start w:val="1"/>
      <w:numFmt w:val="bullet"/>
      <w:lvlText w:val=""/>
      <w:lvlPicBulletId w:val="0"/>
      <w:lvlJc w:val="left"/>
      <w:pPr>
        <w:ind w:left="75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3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6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3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6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8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FD8373B"/>
    <w:multiLevelType w:val="hybridMultilevel"/>
    <w:tmpl w:val="20AE23C2"/>
    <w:lvl w:ilvl="0" w:tplc="670833C8">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636E2A"/>
    <w:multiLevelType w:val="hybridMultilevel"/>
    <w:tmpl w:val="050AD1C4"/>
    <w:lvl w:ilvl="0" w:tplc="0762ACC2">
      <w:start w:val="1"/>
      <w:numFmt w:val="bullet"/>
      <w:lvlText w:val="•"/>
      <w:lvlPicBulletId w:val="3"/>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DCE4D87"/>
    <w:multiLevelType w:val="hybridMultilevel"/>
    <w:tmpl w:val="E0E89F32"/>
    <w:lvl w:ilvl="0" w:tplc="E5B84B64">
      <w:start w:val="1"/>
      <w:numFmt w:val="bullet"/>
      <w:lvlText w:val="•"/>
      <w:lvlPicBulletId w:val="5"/>
      <w:lvlJc w:val="left"/>
      <w:pPr>
        <w:ind w:left="3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3F811F6">
      <w:start w:val="1"/>
      <w:numFmt w:val="bullet"/>
      <w:lvlText w:val="o"/>
      <w:lvlJc w:val="left"/>
      <w:pPr>
        <w:ind w:left="1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48C6B3A">
      <w:start w:val="1"/>
      <w:numFmt w:val="bullet"/>
      <w:lvlText w:val="▪"/>
      <w:lvlJc w:val="left"/>
      <w:pPr>
        <w:ind w:left="2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FBE33D8">
      <w:start w:val="1"/>
      <w:numFmt w:val="bullet"/>
      <w:lvlText w:val="•"/>
      <w:lvlJc w:val="left"/>
      <w:pPr>
        <w:ind w:left="3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2EAE5E">
      <w:start w:val="1"/>
      <w:numFmt w:val="bullet"/>
      <w:lvlText w:val="o"/>
      <w:lvlJc w:val="left"/>
      <w:pPr>
        <w:ind w:left="3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A2A6E4">
      <w:start w:val="1"/>
      <w:numFmt w:val="bullet"/>
      <w:lvlText w:val="▪"/>
      <w:lvlJc w:val="left"/>
      <w:pPr>
        <w:ind w:left="4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D6A868">
      <w:start w:val="1"/>
      <w:numFmt w:val="bullet"/>
      <w:lvlText w:val="•"/>
      <w:lvlJc w:val="left"/>
      <w:pPr>
        <w:ind w:left="5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EEBD9A">
      <w:start w:val="1"/>
      <w:numFmt w:val="bullet"/>
      <w:lvlText w:val="o"/>
      <w:lvlJc w:val="left"/>
      <w:pPr>
        <w:ind w:left="6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A25CD0">
      <w:start w:val="1"/>
      <w:numFmt w:val="bullet"/>
      <w:lvlText w:val="▪"/>
      <w:lvlJc w:val="left"/>
      <w:pPr>
        <w:ind w:left="6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BCE73FC"/>
    <w:multiLevelType w:val="hybridMultilevel"/>
    <w:tmpl w:val="AB30F93E"/>
    <w:lvl w:ilvl="0" w:tplc="670833C8">
      <w:start w:val="1"/>
      <w:numFmt w:val="bullet"/>
      <w:lvlText w:val=""/>
      <w:lvlPicBulletId w:val="6"/>
      <w:lvlJc w:val="left"/>
      <w:pPr>
        <w:tabs>
          <w:tab w:val="num" w:pos="720"/>
        </w:tabs>
        <w:ind w:left="720" w:hanging="360"/>
      </w:pPr>
      <w:rPr>
        <w:rFonts w:ascii="Symbol" w:hAnsi="Symbol" w:hint="default"/>
      </w:rPr>
    </w:lvl>
    <w:lvl w:ilvl="1" w:tplc="F2008260" w:tentative="1">
      <w:start w:val="1"/>
      <w:numFmt w:val="bullet"/>
      <w:lvlText w:val=""/>
      <w:lvlJc w:val="left"/>
      <w:pPr>
        <w:tabs>
          <w:tab w:val="num" w:pos="1440"/>
        </w:tabs>
        <w:ind w:left="1440" w:hanging="360"/>
      </w:pPr>
      <w:rPr>
        <w:rFonts w:ascii="Symbol" w:hAnsi="Symbol" w:hint="default"/>
      </w:rPr>
    </w:lvl>
    <w:lvl w:ilvl="2" w:tplc="1646DC0A" w:tentative="1">
      <w:start w:val="1"/>
      <w:numFmt w:val="bullet"/>
      <w:lvlText w:val=""/>
      <w:lvlJc w:val="left"/>
      <w:pPr>
        <w:tabs>
          <w:tab w:val="num" w:pos="2160"/>
        </w:tabs>
        <w:ind w:left="2160" w:hanging="360"/>
      </w:pPr>
      <w:rPr>
        <w:rFonts w:ascii="Symbol" w:hAnsi="Symbol" w:hint="default"/>
      </w:rPr>
    </w:lvl>
    <w:lvl w:ilvl="3" w:tplc="FC7A6E9C" w:tentative="1">
      <w:start w:val="1"/>
      <w:numFmt w:val="bullet"/>
      <w:lvlText w:val=""/>
      <w:lvlJc w:val="left"/>
      <w:pPr>
        <w:tabs>
          <w:tab w:val="num" w:pos="2880"/>
        </w:tabs>
        <w:ind w:left="2880" w:hanging="360"/>
      </w:pPr>
      <w:rPr>
        <w:rFonts w:ascii="Symbol" w:hAnsi="Symbol" w:hint="default"/>
      </w:rPr>
    </w:lvl>
    <w:lvl w:ilvl="4" w:tplc="D3A28BE8" w:tentative="1">
      <w:start w:val="1"/>
      <w:numFmt w:val="bullet"/>
      <w:lvlText w:val=""/>
      <w:lvlJc w:val="left"/>
      <w:pPr>
        <w:tabs>
          <w:tab w:val="num" w:pos="3600"/>
        </w:tabs>
        <w:ind w:left="3600" w:hanging="360"/>
      </w:pPr>
      <w:rPr>
        <w:rFonts w:ascii="Symbol" w:hAnsi="Symbol" w:hint="default"/>
      </w:rPr>
    </w:lvl>
    <w:lvl w:ilvl="5" w:tplc="EC3434C2" w:tentative="1">
      <w:start w:val="1"/>
      <w:numFmt w:val="bullet"/>
      <w:lvlText w:val=""/>
      <w:lvlJc w:val="left"/>
      <w:pPr>
        <w:tabs>
          <w:tab w:val="num" w:pos="4320"/>
        </w:tabs>
        <w:ind w:left="4320" w:hanging="360"/>
      </w:pPr>
      <w:rPr>
        <w:rFonts w:ascii="Symbol" w:hAnsi="Symbol" w:hint="default"/>
      </w:rPr>
    </w:lvl>
    <w:lvl w:ilvl="6" w:tplc="63763B7A" w:tentative="1">
      <w:start w:val="1"/>
      <w:numFmt w:val="bullet"/>
      <w:lvlText w:val=""/>
      <w:lvlJc w:val="left"/>
      <w:pPr>
        <w:tabs>
          <w:tab w:val="num" w:pos="5040"/>
        </w:tabs>
        <w:ind w:left="5040" w:hanging="360"/>
      </w:pPr>
      <w:rPr>
        <w:rFonts w:ascii="Symbol" w:hAnsi="Symbol" w:hint="default"/>
      </w:rPr>
    </w:lvl>
    <w:lvl w:ilvl="7" w:tplc="2E6A1A06" w:tentative="1">
      <w:start w:val="1"/>
      <w:numFmt w:val="bullet"/>
      <w:lvlText w:val=""/>
      <w:lvlJc w:val="left"/>
      <w:pPr>
        <w:tabs>
          <w:tab w:val="num" w:pos="5760"/>
        </w:tabs>
        <w:ind w:left="5760" w:hanging="360"/>
      </w:pPr>
      <w:rPr>
        <w:rFonts w:ascii="Symbol" w:hAnsi="Symbol" w:hint="default"/>
      </w:rPr>
    </w:lvl>
    <w:lvl w:ilvl="8" w:tplc="BD2CE27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526231C6"/>
    <w:multiLevelType w:val="hybridMultilevel"/>
    <w:tmpl w:val="68286602"/>
    <w:lvl w:ilvl="0" w:tplc="D318CDD4">
      <w:start w:val="1"/>
      <w:numFmt w:val="bullet"/>
      <w:lvlText w:val="•"/>
      <w:lvlPicBulletId w:val="2"/>
      <w:lvlJc w:val="left"/>
      <w:pPr>
        <w:ind w:left="3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0103E04">
      <w:start w:val="1"/>
      <w:numFmt w:val="bullet"/>
      <w:lvlText w:val="o"/>
      <w:lvlJc w:val="left"/>
      <w:pPr>
        <w:ind w:left="1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F809C7C">
      <w:start w:val="1"/>
      <w:numFmt w:val="bullet"/>
      <w:lvlText w:val="▪"/>
      <w:lvlJc w:val="left"/>
      <w:pPr>
        <w:ind w:left="2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258CC04">
      <w:start w:val="1"/>
      <w:numFmt w:val="bullet"/>
      <w:lvlText w:val="•"/>
      <w:lvlJc w:val="left"/>
      <w:pPr>
        <w:ind w:left="3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A4022C">
      <w:start w:val="1"/>
      <w:numFmt w:val="bullet"/>
      <w:lvlText w:val="o"/>
      <w:lvlJc w:val="left"/>
      <w:pPr>
        <w:ind w:left="3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FD097D2">
      <w:start w:val="1"/>
      <w:numFmt w:val="bullet"/>
      <w:lvlText w:val="▪"/>
      <w:lvlJc w:val="left"/>
      <w:pPr>
        <w:ind w:left="4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64DA16">
      <w:start w:val="1"/>
      <w:numFmt w:val="bullet"/>
      <w:lvlText w:val="•"/>
      <w:lvlJc w:val="left"/>
      <w:pPr>
        <w:ind w:left="5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D054CC">
      <w:start w:val="1"/>
      <w:numFmt w:val="bullet"/>
      <w:lvlText w:val="o"/>
      <w:lvlJc w:val="left"/>
      <w:pPr>
        <w:ind w:left="6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3CCF582">
      <w:start w:val="1"/>
      <w:numFmt w:val="bullet"/>
      <w:lvlText w:val="▪"/>
      <w:lvlJc w:val="left"/>
      <w:pPr>
        <w:ind w:left="6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4BF67CC"/>
    <w:multiLevelType w:val="hybridMultilevel"/>
    <w:tmpl w:val="7C2875D4"/>
    <w:lvl w:ilvl="0" w:tplc="04090001">
      <w:start w:val="1"/>
      <w:numFmt w:val="bullet"/>
      <w:lvlText w:val=""/>
      <w:lvlJc w:val="left"/>
      <w:pPr>
        <w:ind w:left="3899" w:hanging="360"/>
      </w:pPr>
      <w:rPr>
        <w:rFonts w:ascii="Symbol" w:hAnsi="Symbol" w:hint="default"/>
      </w:rPr>
    </w:lvl>
    <w:lvl w:ilvl="1" w:tplc="04090003" w:tentative="1">
      <w:start w:val="1"/>
      <w:numFmt w:val="bullet"/>
      <w:lvlText w:val="o"/>
      <w:lvlJc w:val="left"/>
      <w:pPr>
        <w:ind w:left="4619" w:hanging="360"/>
      </w:pPr>
      <w:rPr>
        <w:rFonts w:ascii="Courier New" w:hAnsi="Courier New" w:cs="Courier New" w:hint="default"/>
      </w:rPr>
    </w:lvl>
    <w:lvl w:ilvl="2" w:tplc="04090005" w:tentative="1">
      <w:start w:val="1"/>
      <w:numFmt w:val="bullet"/>
      <w:lvlText w:val=""/>
      <w:lvlJc w:val="left"/>
      <w:pPr>
        <w:ind w:left="5339" w:hanging="360"/>
      </w:pPr>
      <w:rPr>
        <w:rFonts w:ascii="Wingdings" w:hAnsi="Wingdings" w:hint="default"/>
      </w:rPr>
    </w:lvl>
    <w:lvl w:ilvl="3" w:tplc="04090001" w:tentative="1">
      <w:start w:val="1"/>
      <w:numFmt w:val="bullet"/>
      <w:lvlText w:val=""/>
      <w:lvlJc w:val="left"/>
      <w:pPr>
        <w:ind w:left="6059" w:hanging="360"/>
      </w:pPr>
      <w:rPr>
        <w:rFonts w:ascii="Symbol" w:hAnsi="Symbol" w:hint="default"/>
      </w:rPr>
    </w:lvl>
    <w:lvl w:ilvl="4" w:tplc="04090003" w:tentative="1">
      <w:start w:val="1"/>
      <w:numFmt w:val="bullet"/>
      <w:lvlText w:val="o"/>
      <w:lvlJc w:val="left"/>
      <w:pPr>
        <w:ind w:left="6779" w:hanging="360"/>
      </w:pPr>
      <w:rPr>
        <w:rFonts w:ascii="Courier New" w:hAnsi="Courier New" w:cs="Courier New" w:hint="default"/>
      </w:rPr>
    </w:lvl>
    <w:lvl w:ilvl="5" w:tplc="04090005" w:tentative="1">
      <w:start w:val="1"/>
      <w:numFmt w:val="bullet"/>
      <w:lvlText w:val=""/>
      <w:lvlJc w:val="left"/>
      <w:pPr>
        <w:ind w:left="7499" w:hanging="360"/>
      </w:pPr>
      <w:rPr>
        <w:rFonts w:ascii="Wingdings" w:hAnsi="Wingdings" w:hint="default"/>
      </w:rPr>
    </w:lvl>
    <w:lvl w:ilvl="6" w:tplc="04090001" w:tentative="1">
      <w:start w:val="1"/>
      <w:numFmt w:val="bullet"/>
      <w:lvlText w:val=""/>
      <w:lvlJc w:val="left"/>
      <w:pPr>
        <w:ind w:left="8219" w:hanging="360"/>
      </w:pPr>
      <w:rPr>
        <w:rFonts w:ascii="Symbol" w:hAnsi="Symbol" w:hint="default"/>
      </w:rPr>
    </w:lvl>
    <w:lvl w:ilvl="7" w:tplc="04090003" w:tentative="1">
      <w:start w:val="1"/>
      <w:numFmt w:val="bullet"/>
      <w:lvlText w:val="o"/>
      <w:lvlJc w:val="left"/>
      <w:pPr>
        <w:ind w:left="8939" w:hanging="360"/>
      </w:pPr>
      <w:rPr>
        <w:rFonts w:ascii="Courier New" w:hAnsi="Courier New" w:cs="Courier New" w:hint="default"/>
      </w:rPr>
    </w:lvl>
    <w:lvl w:ilvl="8" w:tplc="04090005" w:tentative="1">
      <w:start w:val="1"/>
      <w:numFmt w:val="bullet"/>
      <w:lvlText w:val=""/>
      <w:lvlJc w:val="left"/>
      <w:pPr>
        <w:ind w:left="9659" w:hanging="360"/>
      </w:pPr>
      <w:rPr>
        <w:rFonts w:ascii="Wingdings" w:hAnsi="Wingdings" w:hint="default"/>
      </w:rPr>
    </w:lvl>
  </w:abstractNum>
  <w:abstractNum w:abstractNumId="10" w15:restartNumberingAfterBreak="0">
    <w:nsid w:val="5E6D482A"/>
    <w:multiLevelType w:val="hybridMultilevel"/>
    <w:tmpl w:val="1AFC75C4"/>
    <w:lvl w:ilvl="0" w:tplc="0762ACC2">
      <w:start w:val="1"/>
      <w:numFmt w:val="bullet"/>
      <w:lvlText w:val="•"/>
      <w:lvlPicBulletId w:val="3"/>
      <w:lvlJc w:val="left"/>
      <w:pPr>
        <w:ind w:left="3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3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6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0385D98"/>
    <w:multiLevelType w:val="hybridMultilevel"/>
    <w:tmpl w:val="C6D8EB50"/>
    <w:lvl w:ilvl="0" w:tplc="0AE8CA98">
      <w:start w:val="1"/>
      <w:numFmt w:val="bullet"/>
      <w:lvlText w:val="•"/>
      <w:lvlPicBulletId w:val="1"/>
      <w:lvlJc w:val="left"/>
      <w:pPr>
        <w:ind w:left="7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772D1C6">
      <w:start w:val="1"/>
      <w:numFmt w:val="bullet"/>
      <w:lvlText w:val="o"/>
      <w:lvlJc w:val="left"/>
      <w:pPr>
        <w:ind w:left="1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F389D36">
      <w:start w:val="1"/>
      <w:numFmt w:val="bullet"/>
      <w:lvlText w:val="▪"/>
      <w:lvlJc w:val="left"/>
      <w:pPr>
        <w:ind w:left="2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2FB92">
      <w:start w:val="1"/>
      <w:numFmt w:val="bullet"/>
      <w:lvlText w:val="•"/>
      <w:lvlJc w:val="left"/>
      <w:pPr>
        <w:ind w:left="3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A828430">
      <w:start w:val="1"/>
      <w:numFmt w:val="bullet"/>
      <w:lvlText w:val="o"/>
      <w:lvlJc w:val="left"/>
      <w:pPr>
        <w:ind w:left="3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B64A08">
      <w:start w:val="1"/>
      <w:numFmt w:val="bullet"/>
      <w:lvlText w:val="▪"/>
      <w:lvlJc w:val="left"/>
      <w:pPr>
        <w:ind w:left="46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105660">
      <w:start w:val="1"/>
      <w:numFmt w:val="bullet"/>
      <w:lvlText w:val="•"/>
      <w:lvlJc w:val="left"/>
      <w:pPr>
        <w:ind w:left="53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A070EC">
      <w:start w:val="1"/>
      <w:numFmt w:val="bullet"/>
      <w:lvlText w:val="o"/>
      <w:lvlJc w:val="left"/>
      <w:pPr>
        <w:ind w:left="6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A80CB2">
      <w:start w:val="1"/>
      <w:numFmt w:val="bullet"/>
      <w:lvlText w:val="▪"/>
      <w:lvlJc w:val="left"/>
      <w:pPr>
        <w:ind w:left="68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6130699"/>
    <w:multiLevelType w:val="hybridMultilevel"/>
    <w:tmpl w:val="AE545F4A"/>
    <w:lvl w:ilvl="0" w:tplc="0762ACC2">
      <w:start w:val="1"/>
      <w:numFmt w:val="bullet"/>
      <w:lvlText w:val="•"/>
      <w:lvlPicBulletId w:val="3"/>
      <w:lvlJc w:val="left"/>
      <w:pPr>
        <w:tabs>
          <w:tab w:val="num" w:pos="720"/>
        </w:tabs>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D4060B0"/>
    <w:multiLevelType w:val="hybridMultilevel"/>
    <w:tmpl w:val="377A93E6"/>
    <w:lvl w:ilvl="0" w:tplc="5B240A64">
      <w:start w:val="1"/>
      <w:numFmt w:val="bullet"/>
      <w:lvlText w:val="•"/>
      <w:lvlPicBulletId w:val="0"/>
      <w:lvlJc w:val="left"/>
      <w:pPr>
        <w:ind w:left="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0AEBDC">
      <w:start w:val="1"/>
      <w:numFmt w:val="bullet"/>
      <w:lvlText w:val="o"/>
      <w:lvlJc w:val="left"/>
      <w:pPr>
        <w:ind w:left="1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D54C028">
      <w:start w:val="1"/>
      <w:numFmt w:val="bullet"/>
      <w:lvlText w:val="▪"/>
      <w:lvlJc w:val="left"/>
      <w:pPr>
        <w:ind w:left="2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742536">
      <w:start w:val="1"/>
      <w:numFmt w:val="bullet"/>
      <w:lvlText w:val="•"/>
      <w:lvlJc w:val="left"/>
      <w:pPr>
        <w:ind w:left="3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18FA4C">
      <w:start w:val="1"/>
      <w:numFmt w:val="bullet"/>
      <w:lvlText w:val="o"/>
      <w:lvlJc w:val="left"/>
      <w:pPr>
        <w:ind w:left="3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E466BF8">
      <w:start w:val="1"/>
      <w:numFmt w:val="bullet"/>
      <w:lvlText w:val="▪"/>
      <w:lvlJc w:val="left"/>
      <w:pPr>
        <w:ind w:left="4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1AE5EF0">
      <w:start w:val="1"/>
      <w:numFmt w:val="bullet"/>
      <w:lvlText w:val="•"/>
      <w:lvlJc w:val="left"/>
      <w:pPr>
        <w:ind w:left="53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C4019C">
      <w:start w:val="1"/>
      <w:numFmt w:val="bullet"/>
      <w:lvlText w:val="o"/>
      <w:lvlJc w:val="left"/>
      <w:pPr>
        <w:ind w:left="60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59270FC">
      <w:start w:val="1"/>
      <w:numFmt w:val="bullet"/>
      <w:lvlText w:val="▪"/>
      <w:lvlJc w:val="left"/>
      <w:pPr>
        <w:ind w:left="67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767383877">
    <w:abstractNumId w:val="13"/>
  </w:num>
  <w:num w:numId="2" w16cid:durableId="1337340990">
    <w:abstractNumId w:val="11"/>
  </w:num>
  <w:num w:numId="3" w16cid:durableId="1458641746">
    <w:abstractNumId w:val="8"/>
  </w:num>
  <w:num w:numId="4" w16cid:durableId="1955597762">
    <w:abstractNumId w:val="2"/>
  </w:num>
  <w:num w:numId="5" w16cid:durableId="1870020732">
    <w:abstractNumId w:val="0"/>
  </w:num>
  <w:num w:numId="6" w16cid:durableId="246962971">
    <w:abstractNumId w:val="6"/>
  </w:num>
  <w:num w:numId="7" w16cid:durableId="69011476">
    <w:abstractNumId w:val="7"/>
  </w:num>
  <w:num w:numId="8" w16cid:durableId="1750494835">
    <w:abstractNumId w:val="1"/>
  </w:num>
  <w:num w:numId="9" w16cid:durableId="347173784">
    <w:abstractNumId w:val="12"/>
  </w:num>
  <w:num w:numId="10" w16cid:durableId="429855782">
    <w:abstractNumId w:val="3"/>
  </w:num>
  <w:num w:numId="11" w16cid:durableId="395397425">
    <w:abstractNumId w:val="4"/>
  </w:num>
  <w:num w:numId="12" w16cid:durableId="2038189235">
    <w:abstractNumId w:val="5"/>
  </w:num>
  <w:num w:numId="13" w16cid:durableId="1261597728">
    <w:abstractNumId w:val="10"/>
  </w:num>
  <w:num w:numId="14" w16cid:durableId="2181710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IyNTM3MTI3tzAwsLRQ0lEKTi0uzszPAykwrAUAaCCA/iwAAAA="/>
  </w:docVars>
  <w:rsids>
    <w:rsidRoot w:val="006B7D9D"/>
    <w:rsid w:val="00006940"/>
    <w:rsid w:val="00076A3F"/>
    <w:rsid w:val="00186F28"/>
    <w:rsid w:val="001C559E"/>
    <w:rsid w:val="00242E9D"/>
    <w:rsid w:val="003002A6"/>
    <w:rsid w:val="004A6EB3"/>
    <w:rsid w:val="004B3185"/>
    <w:rsid w:val="005601D9"/>
    <w:rsid w:val="006B7D9D"/>
    <w:rsid w:val="00753984"/>
    <w:rsid w:val="007A2496"/>
    <w:rsid w:val="00804CE3"/>
    <w:rsid w:val="0080519D"/>
    <w:rsid w:val="00872D51"/>
    <w:rsid w:val="00901359"/>
    <w:rsid w:val="009F1762"/>
    <w:rsid w:val="00A96C86"/>
    <w:rsid w:val="00AC007A"/>
    <w:rsid w:val="00AE2FDA"/>
    <w:rsid w:val="00C06959"/>
    <w:rsid w:val="00C40884"/>
    <w:rsid w:val="00C63CD2"/>
    <w:rsid w:val="00DB634A"/>
    <w:rsid w:val="00E76B60"/>
    <w:rsid w:val="00FB5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CA5D2"/>
  <w15:docId w15:val="{1E125ACE-4A38-48EB-B0ED-20443E3C2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8" w:lineRule="auto"/>
      <w:ind w:left="2002" w:firstLine="4"/>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35"/>
      <w:ind w:left="39" w:hanging="10"/>
      <w:outlineLvl w:val="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paragraph" w:styleId="Revision">
    <w:name w:val="Revision"/>
    <w:hidden/>
    <w:uiPriority w:val="99"/>
    <w:semiHidden/>
    <w:rsid w:val="00C06959"/>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C06959"/>
    <w:rPr>
      <w:sz w:val="16"/>
      <w:szCs w:val="16"/>
    </w:rPr>
  </w:style>
  <w:style w:type="paragraph" w:styleId="CommentText">
    <w:name w:val="annotation text"/>
    <w:basedOn w:val="Normal"/>
    <w:link w:val="CommentTextChar"/>
    <w:uiPriority w:val="99"/>
    <w:unhideWhenUsed/>
    <w:rsid w:val="00C06959"/>
    <w:pPr>
      <w:spacing w:line="240" w:lineRule="auto"/>
    </w:pPr>
    <w:rPr>
      <w:sz w:val="20"/>
      <w:szCs w:val="20"/>
    </w:rPr>
  </w:style>
  <w:style w:type="character" w:customStyle="1" w:styleId="CommentTextChar">
    <w:name w:val="Comment Text Char"/>
    <w:basedOn w:val="DefaultParagraphFont"/>
    <w:link w:val="CommentText"/>
    <w:uiPriority w:val="99"/>
    <w:rsid w:val="00C06959"/>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C06959"/>
    <w:rPr>
      <w:b/>
      <w:bCs/>
    </w:rPr>
  </w:style>
  <w:style w:type="character" w:customStyle="1" w:styleId="CommentSubjectChar">
    <w:name w:val="Comment Subject Char"/>
    <w:basedOn w:val="CommentTextChar"/>
    <w:link w:val="CommentSubject"/>
    <w:uiPriority w:val="99"/>
    <w:semiHidden/>
    <w:rsid w:val="00C06959"/>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FB5EDB"/>
    <w:pPr>
      <w:ind w:left="720"/>
      <w:contextualSpacing/>
    </w:pPr>
  </w:style>
  <w:style w:type="paragraph" w:styleId="BalloonText">
    <w:name w:val="Balloon Text"/>
    <w:basedOn w:val="Normal"/>
    <w:link w:val="BalloonTextChar"/>
    <w:uiPriority w:val="99"/>
    <w:semiHidden/>
    <w:unhideWhenUsed/>
    <w:rsid w:val="001C55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559E"/>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9.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8.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0.jp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1548</Words>
  <Characters>8826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KM_554e-20200831135843</vt:lpstr>
    </vt:vector>
  </TitlesOfParts>
  <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KM_554e-20200831135843</dc:title>
  <dc:subject/>
  <dc:creator>Sean Simpson</dc:creator>
  <cp:keywords/>
  <cp:lastModifiedBy>Sean Simpson</cp:lastModifiedBy>
  <cp:revision>3</cp:revision>
  <cp:lastPrinted>2023-06-23T14:17:00Z</cp:lastPrinted>
  <dcterms:created xsi:type="dcterms:W3CDTF">2023-06-27T19:24:00Z</dcterms:created>
  <dcterms:modified xsi:type="dcterms:W3CDTF">2023-06-27T19:27:00Z</dcterms:modified>
</cp:coreProperties>
</file>