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33E" w:rsidRPr="002449E5" w:rsidRDefault="00864CA1" w:rsidP="00A8033E">
      <w:pPr>
        <w:jc w:val="center"/>
        <w:rPr>
          <w:rFonts w:cstheme="minorHAnsi"/>
          <w:b/>
          <w:bCs/>
          <w:sz w:val="32"/>
          <w:szCs w:val="32"/>
        </w:rPr>
      </w:pPr>
      <w:r>
        <w:rPr>
          <w:rFonts w:cstheme="minorHAnsi"/>
          <w:b/>
          <w:bCs/>
          <w:sz w:val="32"/>
          <w:szCs w:val="32"/>
        </w:rPr>
        <w:t>G</w:t>
      </w:r>
      <w:bookmarkStart w:id="0" w:name="_GoBack"/>
      <w:bookmarkEnd w:id="0"/>
      <w:r w:rsidR="00A8033E" w:rsidRPr="002449E5">
        <w:rPr>
          <w:rFonts w:cstheme="minorHAnsi"/>
          <w:b/>
          <w:bCs/>
          <w:sz w:val="32"/>
          <w:szCs w:val="32"/>
        </w:rPr>
        <w:t>uidance for the use of doxycycline post-exposure prophylaxis (</w:t>
      </w:r>
      <w:proofErr w:type="spellStart"/>
      <w:r w:rsidR="00A8033E" w:rsidRPr="002449E5">
        <w:rPr>
          <w:rFonts w:cstheme="minorHAnsi"/>
          <w:b/>
          <w:bCs/>
          <w:sz w:val="32"/>
          <w:szCs w:val="32"/>
        </w:rPr>
        <w:t>DoxyPEP</w:t>
      </w:r>
      <w:proofErr w:type="spellEnd"/>
      <w:r w:rsidR="00A8033E" w:rsidRPr="002449E5">
        <w:rPr>
          <w:rFonts w:cstheme="minorHAnsi"/>
          <w:b/>
          <w:bCs/>
          <w:sz w:val="32"/>
          <w:szCs w:val="32"/>
        </w:rPr>
        <w:t xml:space="preserve">) for bacterial </w:t>
      </w:r>
      <w:r w:rsidR="00A8033E">
        <w:rPr>
          <w:rFonts w:cstheme="minorHAnsi"/>
          <w:b/>
          <w:bCs/>
          <w:sz w:val="32"/>
          <w:szCs w:val="32"/>
        </w:rPr>
        <w:t xml:space="preserve">sexually transmitted infection </w:t>
      </w:r>
      <w:r w:rsidR="00A8033E" w:rsidRPr="002449E5">
        <w:rPr>
          <w:rFonts w:cstheme="minorHAnsi"/>
          <w:b/>
          <w:bCs/>
          <w:sz w:val="32"/>
          <w:szCs w:val="32"/>
        </w:rPr>
        <w:t>prevention</w:t>
      </w:r>
    </w:p>
    <w:p w:rsidR="00A8033E" w:rsidRDefault="00A8033E" w:rsidP="00A8033E">
      <w:pPr>
        <w:spacing w:line="480" w:lineRule="auto"/>
        <w:rPr>
          <w:rFonts w:cstheme="minorHAnsi"/>
          <w:sz w:val="24"/>
          <w:szCs w:val="24"/>
        </w:rPr>
      </w:pPr>
    </w:p>
    <w:p w:rsidR="004D3E0C" w:rsidRPr="004D3E0C" w:rsidRDefault="004D3E0C" w:rsidP="004D3E0C">
      <w:pPr>
        <w:pStyle w:val="CommentText"/>
        <w:rPr>
          <w:sz w:val="24"/>
          <w:szCs w:val="24"/>
        </w:rPr>
      </w:pPr>
      <w:r w:rsidRPr="004D3E0C">
        <w:rPr>
          <w:b/>
          <w:bCs/>
          <w:sz w:val="24"/>
          <w:szCs w:val="24"/>
        </w:rPr>
        <w:t xml:space="preserve">Purpose </w:t>
      </w:r>
      <w:r w:rsidRPr="004D3E0C">
        <w:rPr>
          <w:sz w:val="24"/>
          <w:szCs w:val="24"/>
        </w:rPr>
        <w:t xml:space="preserve"> </w:t>
      </w:r>
    </w:p>
    <w:p w:rsidR="004D3E0C" w:rsidRPr="004D3E0C" w:rsidRDefault="004D3E0C" w:rsidP="004D3E0C">
      <w:pPr>
        <w:pStyle w:val="CommentText"/>
        <w:rPr>
          <w:sz w:val="24"/>
          <w:szCs w:val="24"/>
        </w:rPr>
      </w:pPr>
      <w:r w:rsidRPr="004D3E0C">
        <w:rPr>
          <w:sz w:val="24"/>
          <w:szCs w:val="24"/>
        </w:rPr>
        <w:t xml:space="preserve">To provide guidance on the use of oral doxycycline following </w:t>
      </w:r>
      <w:proofErr w:type="spellStart"/>
      <w:r w:rsidR="009113D0">
        <w:rPr>
          <w:sz w:val="24"/>
          <w:szCs w:val="24"/>
        </w:rPr>
        <w:t>condomless</w:t>
      </w:r>
      <w:proofErr w:type="spellEnd"/>
      <w:r w:rsidRPr="004D3E0C">
        <w:rPr>
          <w:sz w:val="24"/>
          <w:szCs w:val="24"/>
        </w:rPr>
        <w:t xml:space="preserve"> sexual encounters among cis-gender men or </w:t>
      </w:r>
      <w:r w:rsidR="004952D1">
        <w:rPr>
          <w:sz w:val="24"/>
          <w:szCs w:val="24"/>
        </w:rPr>
        <w:t>transgender women (TGW/</w:t>
      </w:r>
      <w:r w:rsidRPr="004D3E0C">
        <w:rPr>
          <w:sz w:val="24"/>
          <w:szCs w:val="24"/>
        </w:rPr>
        <w:t>birth gender male) to prevent bacterial</w:t>
      </w:r>
      <w:r>
        <w:rPr>
          <w:sz w:val="24"/>
          <w:szCs w:val="24"/>
        </w:rPr>
        <w:t xml:space="preserve"> sexually transmitted infections</w:t>
      </w:r>
      <w:r w:rsidRPr="004D3E0C">
        <w:rPr>
          <w:sz w:val="24"/>
          <w:szCs w:val="24"/>
        </w:rPr>
        <w:t xml:space="preserve"> </w:t>
      </w:r>
      <w:r>
        <w:rPr>
          <w:sz w:val="24"/>
          <w:szCs w:val="24"/>
        </w:rPr>
        <w:t>(</w:t>
      </w:r>
      <w:r w:rsidRPr="004D3E0C">
        <w:rPr>
          <w:sz w:val="24"/>
          <w:szCs w:val="24"/>
        </w:rPr>
        <w:t>STIs</w:t>
      </w:r>
      <w:r>
        <w:rPr>
          <w:sz w:val="24"/>
          <w:szCs w:val="24"/>
        </w:rPr>
        <w:t>)</w:t>
      </w:r>
      <w:r w:rsidRPr="004D3E0C">
        <w:rPr>
          <w:sz w:val="24"/>
          <w:szCs w:val="24"/>
        </w:rPr>
        <w:t xml:space="preserve"> including syphilis, gonorrhea, and chlamydia</w:t>
      </w:r>
      <w:r>
        <w:rPr>
          <w:sz w:val="24"/>
          <w:szCs w:val="24"/>
        </w:rPr>
        <w:t>.</w:t>
      </w:r>
      <w:r w:rsidRPr="004D3E0C">
        <w:rPr>
          <w:sz w:val="24"/>
          <w:szCs w:val="24"/>
        </w:rPr>
        <w:t xml:space="preserve"> </w:t>
      </w:r>
    </w:p>
    <w:p w:rsidR="004D3E0C" w:rsidRDefault="004D3E0C" w:rsidP="004D3E0C">
      <w:pPr>
        <w:pStyle w:val="CommentText"/>
        <w:rPr>
          <w:sz w:val="24"/>
          <w:szCs w:val="24"/>
        </w:rPr>
      </w:pPr>
    </w:p>
    <w:p w:rsidR="00FA5FA0" w:rsidRPr="004D3E0C" w:rsidRDefault="00FA5FA0" w:rsidP="004D3E0C">
      <w:pPr>
        <w:pStyle w:val="CommentText"/>
        <w:rPr>
          <w:sz w:val="24"/>
          <w:szCs w:val="24"/>
        </w:rPr>
      </w:pPr>
    </w:p>
    <w:p w:rsidR="004D3E0C" w:rsidRDefault="004D3E0C" w:rsidP="004D3E0C">
      <w:pPr>
        <w:rPr>
          <w:sz w:val="24"/>
          <w:szCs w:val="24"/>
        </w:rPr>
      </w:pPr>
      <w:r w:rsidRPr="004D3E0C">
        <w:rPr>
          <w:b/>
          <w:sz w:val="24"/>
          <w:szCs w:val="24"/>
        </w:rPr>
        <w:t>I</w:t>
      </w:r>
      <w:r w:rsidRPr="004D3E0C">
        <w:rPr>
          <w:b/>
          <w:bCs/>
          <w:sz w:val="24"/>
          <w:szCs w:val="24"/>
        </w:rPr>
        <w:t>ntended Audience</w:t>
      </w:r>
      <w:r w:rsidRPr="004D3E0C">
        <w:rPr>
          <w:sz w:val="24"/>
          <w:szCs w:val="24"/>
        </w:rPr>
        <w:t xml:space="preserve">  </w:t>
      </w:r>
    </w:p>
    <w:p w:rsidR="004D3E0C" w:rsidRDefault="004D3E0C" w:rsidP="004D3E0C">
      <w:pPr>
        <w:rPr>
          <w:sz w:val="24"/>
          <w:szCs w:val="24"/>
        </w:rPr>
      </w:pPr>
      <w:r>
        <w:rPr>
          <w:sz w:val="24"/>
          <w:szCs w:val="24"/>
        </w:rPr>
        <w:t>P</w:t>
      </w:r>
      <w:r w:rsidRPr="004D3E0C">
        <w:rPr>
          <w:sz w:val="24"/>
          <w:szCs w:val="24"/>
        </w:rPr>
        <w:t>rescribing providers delivering clinical care to sexually active birth gender males</w:t>
      </w:r>
      <w:r w:rsidR="004C54CA">
        <w:rPr>
          <w:sz w:val="24"/>
          <w:szCs w:val="24"/>
        </w:rPr>
        <w:t xml:space="preserve">, non-prescribing clinicians, </w:t>
      </w:r>
      <w:r w:rsidR="00883407">
        <w:rPr>
          <w:sz w:val="24"/>
          <w:szCs w:val="24"/>
        </w:rPr>
        <w:t xml:space="preserve">and </w:t>
      </w:r>
      <w:r w:rsidR="004C54CA">
        <w:rPr>
          <w:sz w:val="24"/>
          <w:szCs w:val="24"/>
        </w:rPr>
        <w:t>public health staff</w:t>
      </w:r>
      <w:r>
        <w:rPr>
          <w:sz w:val="24"/>
          <w:szCs w:val="24"/>
        </w:rPr>
        <w:t>.</w:t>
      </w:r>
    </w:p>
    <w:p w:rsidR="004D3E0C" w:rsidRDefault="004D3E0C" w:rsidP="004D3E0C">
      <w:pPr>
        <w:rPr>
          <w:rFonts w:cstheme="minorHAnsi"/>
          <w:sz w:val="24"/>
          <w:szCs w:val="24"/>
        </w:rPr>
      </w:pPr>
    </w:p>
    <w:p w:rsidR="00FA5FA0" w:rsidRPr="004D3E0C" w:rsidRDefault="00FA5FA0" w:rsidP="004D3E0C">
      <w:pPr>
        <w:rPr>
          <w:rFonts w:cstheme="minorHAnsi"/>
          <w:sz w:val="24"/>
          <w:szCs w:val="24"/>
        </w:rPr>
      </w:pPr>
    </w:p>
    <w:p w:rsidR="00A8033E" w:rsidRDefault="00A8033E" w:rsidP="00A8033E">
      <w:pPr>
        <w:contextualSpacing/>
        <w:rPr>
          <w:rFonts w:cstheme="minorHAnsi"/>
          <w:b/>
          <w:bCs/>
          <w:sz w:val="24"/>
          <w:szCs w:val="24"/>
        </w:rPr>
      </w:pPr>
      <w:r w:rsidRPr="003437E0">
        <w:rPr>
          <w:rFonts w:cstheme="minorHAnsi"/>
          <w:b/>
          <w:bCs/>
          <w:sz w:val="24"/>
          <w:szCs w:val="24"/>
        </w:rPr>
        <w:t>Population</w:t>
      </w:r>
      <w:r>
        <w:rPr>
          <w:rFonts w:cstheme="minorHAnsi"/>
          <w:b/>
          <w:bCs/>
          <w:sz w:val="24"/>
          <w:szCs w:val="24"/>
        </w:rPr>
        <w:t xml:space="preserve"> recommended for use of </w:t>
      </w:r>
      <w:proofErr w:type="spellStart"/>
      <w:r>
        <w:rPr>
          <w:rFonts w:cstheme="minorHAnsi"/>
          <w:b/>
          <w:bCs/>
          <w:sz w:val="24"/>
          <w:szCs w:val="24"/>
        </w:rPr>
        <w:t>DoxyPEP</w:t>
      </w:r>
      <w:proofErr w:type="spellEnd"/>
      <w:r>
        <w:rPr>
          <w:rFonts w:cstheme="minorHAnsi"/>
          <w:b/>
          <w:bCs/>
          <w:sz w:val="24"/>
          <w:szCs w:val="24"/>
        </w:rPr>
        <w:t xml:space="preserve"> for bacterial sexually transmitted infection (STI) prevention</w:t>
      </w:r>
    </w:p>
    <w:p w:rsidR="00A8033E" w:rsidRPr="000777AD" w:rsidRDefault="00A8033E" w:rsidP="00A8033E">
      <w:pPr>
        <w:contextualSpacing/>
        <w:rPr>
          <w:rFonts w:cstheme="minorHAnsi"/>
          <w:b/>
          <w:bCs/>
          <w:sz w:val="24"/>
          <w:szCs w:val="24"/>
        </w:rPr>
      </w:pPr>
    </w:p>
    <w:tbl>
      <w:tblPr>
        <w:tblStyle w:val="TableGrid"/>
        <w:tblW w:w="9355" w:type="dxa"/>
        <w:tblLook w:val="04A0" w:firstRow="1" w:lastRow="0" w:firstColumn="1" w:lastColumn="0" w:noHBand="0" w:noVBand="1"/>
      </w:tblPr>
      <w:tblGrid>
        <w:gridCol w:w="9355"/>
      </w:tblGrid>
      <w:tr w:rsidR="00A8033E" w:rsidRPr="00100C2E" w:rsidTr="00DF74B8">
        <w:tc>
          <w:tcPr>
            <w:tcW w:w="9355" w:type="dxa"/>
            <w:shd w:val="clear" w:color="auto" w:fill="F7CAAC" w:themeFill="accent2" w:themeFillTint="66"/>
          </w:tcPr>
          <w:p w:rsidR="00A8033E" w:rsidRPr="00100C2E" w:rsidRDefault="00A8033E" w:rsidP="00DF74B8">
            <w:pPr>
              <w:rPr>
                <w:rFonts w:cstheme="minorHAnsi"/>
                <w:b/>
                <w:bCs/>
                <w:sz w:val="24"/>
                <w:szCs w:val="24"/>
              </w:rPr>
            </w:pPr>
            <w:r w:rsidRPr="00100C2E">
              <w:rPr>
                <w:rFonts w:cstheme="minorHAnsi"/>
                <w:b/>
                <w:bCs/>
                <w:sz w:val="24"/>
                <w:szCs w:val="24"/>
              </w:rPr>
              <w:t>Recommendation</w:t>
            </w:r>
          </w:p>
        </w:tc>
      </w:tr>
      <w:tr w:rsidR="00A8033E" w:rsidRPr="00100C2E" w:rsidTr="00DF74B8">
        <w:tc>
          <w:tcPr>
            <w:tcW w:w="9355" w:type="dxa"/>
          </w:tcPr>
          <w:p w:rsidR="00A8033E" w:rsidRPr="002449E5" w:rsidRDefault="00A8033E" w:rsidP="004D15FC">
            <w:pPr>
              <w:rPr>
                <w:sz w:val="24"/>
                <w:szCs w:val="24"/>
              </w:rPr>
            </w:pPr>
            <w:r w:rsidRPr="002449E5">
              <w:rPr>
                <w:sz w:val="24"/>
                <w:szCs w:val="24"/>
              </w:rPr>
              <w:t xml:space="preserve">Doxycycline 200mg taken orally within 72 hours of </w:t>
            </w:r>
            <w:r w:rsidR="004D15FC">
              <w:rPr>
                <w:sz w:val="24"/>
                <w:szCs w:val="24"/>
              </w:rPr>
              <w:t>condomless</w:t>
            </w:r>
            <w:r w:rsidRPr="002449E5">
              <w:rPr>
                <w:sz w:val="24"/>
                <w:szCs w:val="24"/>
              </w:rPr>
              <w:t xml:space="preserve"> sex should be considered for gay, bisexual, and other </w:t>
            </w:r>
            <w:r>
              <w:rPr>
                <w:sz w:val="24"/>
                <w:szCs w:val="24"/>
              </w:rPr>
              <w:t>cis-gender men who have sex with other men (</w:t>
            </w:r>
            <w:r w:rsidRPr="002449E5">
              <w:rPr>
                <w:sz w:val="24"/>
                <w:szCs w:val="24"/>
              </w:rPr>
              <w:t>MSM</w:t>
            </w:r>
            <w:r>
              <w:rPr>
                <w:sz w:val="24"/>
                <w:szCs w:val="24"/>
              </w:rPr>
              <w:t>)</w:t>
            </w:r>
            <w:r w:rsidRPr="002449E5">
              <w:rPr>
                <w:sz w:val="24"/>
                <w:szCs w:val="24"/>
              </w:rPr>
              <w:t xml:space="preserve"> and </w:t>
            </w:r>
            <w:r>
              <w:rPr>
                <w:sz w:val="24"/>
                <w:szCs w:val="24"/>
              </w:rPr>
              <w:t>transgender women (</w:t>
            </w:r>
            <w:r w:rsidRPr="002449E5">
              <w:rPr>
                <w:sz w:val="24"/>
                <w:szCs w:val="24"/>
              </w:rPr>
              <w:t>TGW</w:t>
            </w:r>
            <w:r>
              <w:rPr>
                <w:sz w:val="24"/>
                <w:szCs w:val="24"/>
              </w:rPr>
              <w:t>)</w:t>
            </w:r>
            <w:r w:rsidRPr="002449E5">
              <w:rPr>
                <w:sz w:val="24"/>
                <w:szCs w:val="24"/>
              </w:rPr>
              <w:t xml:space="preserve"> with a history of at least one bacterial STI (gonorrhea, chlamydia or syphilis) in the last 12 months. </w:t>
            </w:r>
          </w:p>
        </w:tc>
      </w:tr>
      <w:tr w:rsidR="00A8033E" w:rsidRPr="00100C2E" w:rsidTr="00DF74B8">
        <w:tc>
          <w:tcPr>
            <w:tcW w:w="9355" w:type="dxa"/>
          </w:tcPr>
          <w:p w:rsidR="00A8033E" w:rsidRPr="00037A24" w:rsidRDefault="00FA54FE" w:rsidP="00FA54FE">
            <w:pPr>
              <w:rPr>
                <w:sz w:val="24"/>
                <w:szCs w:val="24"/>
              </w:rPr>
            </w:pPr>
            <w:r>
              <w:rPr>
                <w:sz w:val="24"/>
                <w:szCs w:val="24"/>
              </w:rPr>
              <w:t>CDC does not currently recommend</w:t>
            </w:r>
            <w:r w:rsidR="00A8033E" w:rsidRPr="002449E5">
              <w:rPr>
                <w:sz w:val="24"/>
                <w:szCs w:val="24"/>
              </w:rPr>
              <w:t xml:space="preserve"> </w:t>
            </w:r>
            <w:r>
              <w:rPr>
                <w:sz w:val="24"/>
                <w:szCs w:val="24"/>
              </w:rPr>
              <w:t>Doxy-PEP</w:t>
            </w:r>
            <w:r w:rsidRPr="002449E5">
              <w:rPr>
                <w:sz w:val="24"/>
                <w:szCs w:val="24"/>
              </w:rPr>
              <w:t xml:space="preserve"> </w:t>
            </w:r>
            <w:r w:rsidR="00A8033E" w:rsidRPr="002449E5">
              <w:rPr>
                <w:sz w:val="24"/>
                <w:szCs w:val="24"/>
              </w:rPr>
              <w:t>for cisgender women</w:t>
            </w:r>
            <w:r>
              <w:rPr>
                <w:sz w:val="24"/>
                <w:szCs w:val="24"/>
              </w:rPr>
              <w:t xml:space="preserve"> (birth gender females)</w:t>
            </w:r>
            <w:r w:rsidR="00A8033E" w:rsidRPr="002449E5">
              <w:rPr>
                <w:sz w:val="24"/>
                <w:szCs w:val="24"/>
              </w:rPr>
              <w:t xml:space="preserve">. Current evidence does not </w:t>
            </w:r>
            <w:r w:rsidR="00D07AF6">
              <w:rPr>
                <w:sz w:val="24"/>
                <w:szCs w:val="24"/>
              </w:rPr>
              <w:t>show</w:t>
            </w:r>
            <w:r w:rsidR="00A8033E" w:rsidRPr="002449E5">
              <w:rPr>
                <w:sz w:val="24"/>
                <w:szCs w:val="24"/>
              </w:rPr>
              <w:t xml:space="preserve"> efficacy </w:t>
            </w:r>
            <w:r w:rsidR="00A8033E">
              <w:rPr>
                <w:sz w:val="24"/>
                <w:szCs w:val="24"/>
              </w:rPr>
              <w:t xml:space="preserve">of </w:t>
            </w:r>
            <w:proofErr w:type="spellStart"/>
            <w:r w:rsidR="00A8033E">
              <w:rPr>
                <w:sz w:val="24"/>
                <w:szCs w:val="24"/>
              </w:rPr>
              <w:t>D</w:t>
            </w:r>
            <w:r w:rsidR="00A8033E" w:rsidRPr="002449E5">
              <w:rPr>
                <w:sz w:val="24"/>
                <w:szCs w:val="24"/>
              </w:rPr>
              <w:t>o</w:t>
            </w:r>
            <w:r w:rsidR="00A8033E">
              <w:rPr>
                <w:sz w:val="24"/>
                <w:szCs w:val="24"/>
              </w:rPr>
              <w:t>xy</w:t>
            </w:r>
            <w:r w:rsidR="00A8033E" w:rsidRPr="002449E5">
              <w:rPr>
                <w:sz w:val="24"/>
                <w:szCs w:val="24"/>
              </w:rPr>
              <w:t>PEP</w:t>
            </w:r>
            <w:proofErr w:type="spellEnd"/>
            <w:r w:rsidR="00A8033E" w:rsidRPr="002449E5">
              <w:rPr>
                <w:sz w:val="24"/>
                <w:szCs w:val="24"/>
              </w:rPr>
              <w:t xml:space="preserve"> in cisgender women in preventing STIs. Further studies </w:t>
            </w:r>
            <w:proofErr w:type="gramStart"/>
            <w:r w:rsidR="00A8033E">
              <w:rPr>
                <w:sz w:val="24"/>
                <w:szCs w:val="24"/>
              </w:rPr>
              <w:t>are</w:t>
            </w:r>
            <w:r w:rsidR="00A8033E" w:rsidRPr="002449E5">
              <w:rPr>
                <w:sz w:val="24"/>
                <w:szCs w:val="24"/>
              </w:rPr>
              <w:t xml:space="preserve"> needed</w:t>
            </w:r>
            <w:proofErr w:type="gramEnd"/>
            <w:r w:rsidR="00A8033E" w:rsidRPr="002449E5">
              <w:rPr>
                <w:sz w:val="24"/>
                <w:szCs w:val="24"/>
              </w:rPr>
              <w:t xml:space="preserve"> to re-evaluate efficacy</w:t>
            </w:r>
            <w:r w:rsidR="000E0029">
              <w:rPr>
                <w:sz w:val="24"/>
                <w:szCs w:val="24"/>
              </w:rPr>
              <w:t xml:space="preserve"> in this population</w:t>
            </w:r>
            <w:r w:rsidR="00A8033E" w:rsidRPr="002449E5">
              <w:rPr>
                <w:sz w:val="24"/>
                <w:szCs w:val="24"/>
              </w:rPr>
              <w:t>.</w:t>
            </w:r>
          </w:p>
        </w:tc>
      </w:tr>
      <w:tr w:rsidR="00A8033E" w:rsidRPr="00100C2E" w:rsidTr="00DF74B8">
        <w:tc>
          <w:tcPr>
            <w:tcW w:w="9355" w:type="dxa"/>
          </w:tcPr>
          <w:p w:rsidR="00A8033E" w:rsidRPr="002449E5" w:rsidRDefault="00A8033E" w:rsidP="00DF74B8">
            <w:pPr>
              <w:rPr>
                <w:sz w:val="24"/>
                <w:szCs w:val="24"/>
              </w:rPr>
            </w:pPr>
            <w:r w:rsidRPr="002449E5">
              <w:rPr>
                <w:sz w:val="24"/>
                <w:szCs w:val="24"/>
              </w:rPr>
              <w:t xml:space="preserve">The potential benefits and risks for transgender men (and other gender diverse patients assigned female sex at birth) who have anal sex with men are unknown. This population was not included in prior studies. </w:t>
            </w:r>
          </w:p>
        </w:tc>
      </w:tr>
      <w:tr w:rsidR="00373D13" w:rsidRPr="00100C2E" w:rsidTr="00DF74B8">
        <w:tc>
          <w:tcPr>
            <w:tcW w:w="9355" w:type="dxa"/>
          </w:tcPr>
          <w:p w:rsidR="00373D13" w:rsidRPr="00373D13" w:rsidRDefault="00373D13" w:rsidP="00DF74B8">
            <w:pPr>
              <w:rPr>
                <w:rFonts w:cstheme="minorHAnsi"/>
                <w:sz w:val="24"/>
                <w:szCs w:val="24"/>
              </w:rPr>
            </w:pPr>
            <w:r w:rsidRPr="00373D13">
              <w:rPr>
                <w:rFonts w:cstheme="minorHAnsi"/>
                <w:color w:val="000000"/>
                <w:sz w:val="24"/>
                <w:szCs w:val="24"/>
                <w:shd w:val="clear" w:color="auto" w:fill="FFFFFF"/>
              </w:rPr>
              <w:t xml:space="preserve">Doxycycline </w:t>
            </w:r>
            <w:proofErr w:type="gramStart"/>
            <w:r w:rsidRPr="00373D13">
              <w:rPr>
                <w:rFonts w:cstheme="minorHAnsi"/>
                <w:color w:val="000000"/>
                <w:sz w:val="24"/>
                <w:szCs w:val="24"/>
                <w:shd w:val="clear" w:color="auto" w:fill="FFFFFF"/>
              </w:rPr>
              <w:t>is contraindicated</w:t>
            </w:r>
            <w:proofErr w:type="gramEnd"/>
            <w:r w:rsidRPr="00373D13">
              <w:rPr>
                <w:rFonts w:cstheme="minorHAnsi"/>
                <w:color w:val="000000"/>
                <w:sz w:val="24"/>
                <w:szCs w:val="24"/>
                <w:shd w:val="clear" w:color="auto" w:fill="FFFFFF"/>
              </w:rPr>
              <w:t xml:space="preserve"> during the second and third trimesters of pregnancy because of risk for tooth discoloration</w:t>
            </w:r>
            <w:r>
              <w:rPr>
                <w:rFonts w:cstheme="minorHAnsi"/>
                <w:color w:val="000000"/>
                <w:sz w:val="24"/>
                <w:szCs w:val="24"/>
                <w:shd w:val="clear" w:color="auto" w:fill="FFFFFF"/>
              </w:rPr>
              <w:t>.</w:t>
            </w:r>
          </w:p>
        </w:tc>
      </w:tr>
    </w:tbl>
    <w:p w:rsidR="00A8033E" w:rsidRDefault="00A8033E" w:rsidP="00A8033E">
      <w:pPr>
        <w:spacing w:line="480" w:lineRule="auto"/>
        <w:rPr>
          <w:rFonts w:cstheme="minorHAnsi"/>
          <w:b/>
          <w:bCs/>
          <w:sz w:val="24"/>
          <w:szCs w:val="24"/>
        </w:rPr>
      </w:pPr>
    </w:p>
    <w:p w:rsidR="00A8033E" w:rsidRDefault="00A8033E" w:rsidP="00A8033E">
      <w:pPr>
        <w:contextualSpacing/>
        <w:rPr>
          <w:rFonts w:cstheme="minorHAnsi"/>
          <w:b/>
          <w:bCs/>
          <w:sz w:val="24"/>
          <w:szCs w:val="24"/>
        </w:rPr>
      </w:pPr>
      <w:r>
        <w:rPr>
          <w:rFonts w:cstheme="minorHAnsi"/>
          <w:b/>
          <w:bCs/>
          <w:sz w:val="24"/>
          <w:szCs w:val="24"/>
        </w:rPr>
        <w:t>Dosing and Prescribing Guidance</w:t>
      </w:r>
    </w:p>
    <w:p w:rsidR="00A8033E" w:rsidRPr="000777AD" w:rsidRDefault="00A8033E" w:rsidP="00A8033E">
      <w:pPr>
        <w:contextualSpacing/>
        <w:rPr>
          <w:rFonts w:cstheme="minorHAnsi"/>
          <w:b/>
          <w:bCs/>
          <w:sz w:val="24"/>
          <w:szCs w:val="24"/>
        </w:rPr>
      </w:pPr>
    </w:p>
    <w:tbl>
      <w:tblPr>
        <w:tblStyle w:val="TableGrid"/>
        <w:tblW w:w="9355" w:type="dxa"/>
        <w:tblLook w:val="04A0" w:firstRow="1" w:lastRow="0" w:firstColumn="1" w:lastColumn="0" w:noHBand="0" w:noVBand="1"/>
      </w:tblPr>
      <w:tblGrid>
        <w:gridCol w:w="9355"/>
      </w:tblGrid>
      <w:tr w:rsidR="00A8033E" w:rsidRPr="00100C2E" w:rsidTr="00DF74B8">
        <w:tc>
          <w:tcPr>
            <w:tcW w:w="9355" w:type="dxa"/>
            <w:shd w:val="clear" w:color="auto" w:fill="F7CAAC" w:themeFill="accent2" w:themeFillTint="66"/>
          </w:tcPr>
          <w:p w:rsidR="00A8033E" w:rsidRPr="00100C2E" w:rsidRDefault="00A8033E" w:rsidP="00DF74B8">
            <w:pPr>
              <w:rPr>
                <w:rFonts w:cstheme="minorHAnsi"/>
                <w:b/>
                <w:bCs/>
                <w:sz w:val="24"/>
                <w:szCs w:val="24"/>
              </w:rPr>
            </w:pPr>
            <w:r w:rsidRPr="00100C2E">
              <w:rPr>
                <w:rFonts w:cstheme="minorHAnsi"/>
                <w:b/>
                <w:bCs/>
                <w:sz w:val="24"/>
                <w:szCs w:val="24"/>
              </w:rPr>
              <w:t>Recommendation</w:t>
            </w:r>
          </w:p>
        </w:tc>
      </w:tr>
      <w:tr w:rsidR="00A8033E" w:rsidRPr="00100C2E" w:rsidTr="00DF74B8">
        <w:tc>
          <w:tcPr>
            <w:tcW w:w="9355" w:type="dxa"/>
          </w:tcPr>
          <w:p w:rsidR="00A8033E" w:rsidRPr="00420E01" w:rsidRDefault="00A8033E" w:rsidP="00DF74B8">
            <w:pPr>
              <w:rPr>
                <w:sz w:val="24"/>
                <w:szCs w:val="24"/>
              </w:rPr>
            </w:pPr>
            <w:r w:rsidRPr="002449E5">
              <w:rPr>
                <w:sz w:val="24"/>
                <w:szCs w:val="24"/>
              </w:rPr>
              <w:t xml:space="preserve">Doxycycline 200mg </w:t>
            </w:r>
            <w:proofErr w:type="gramStart"/>
            <w:r w:rsidRPr="002449E5">
              <w:rPr>
                <w:sz w:val="24"/>
                <w:szCs w:val="24"/>
              </w:rPr>
              <w:t>should be taken</w:t>
            </w:r>
            <w:proofErr w:type="gramEnd"/>
            <w:r w:rsidRPr="002449E5">
              <w:rPr>
                <w:sz w:val="24"/>
                <w:szCs w:val="24"/>
              </w:rPr>
              <w:t xml:space="preserve"> ideally within 24 hours but no later than 72 hours after </w:t>
            </w:r>
            <w:proofErr w:type="spellStart"/>
            <w:r w:rsidRPr="002449E5">
              <w:rPr>
                <w:sz w:val="24"/>
                <w:szCs w:val="24"/>
              </w:rPr>
              <w:t>condomless</w:t>
            </w:r>
            <w:proofErr w:type="spellEnd"/>
            <w:r w:rsidRPr="002449E5">
              <w:rPr>
                <w:sz w:val="24"/>
                <w:szCs w:val="24"/>
              </w:rPr>
              <w:t xml:space="preserve"> sex.</w:t>
            </w:r>
          </w:p>
        </w:tc>
      </w:tr>
      <w:tr w:rsidR="00A8033E" w:rsidRPr="00100C2E" w:rsidTr="00DF74B8">
        <w:tc>
          <w:tcPr>
            <w:tcW w:w="9355" w:type="dxa"/>
          </w:tcPr>
          <w:p w:rsidR="00A8033E" w:rsidRPr="00420E01" w:rsidRDefault="00A8033E" w:rsidP="0026430F">
            <w:pPr>
              <w:rPr>
                <w:sz w:val="24"/>
                <w:szCs w:val="24"/>
              </w:rPr>
            </w:pPr>
            <w:r w:rsidRPr="002449E5">
              <w:rPr>
                <w:sz w:val="24"/>
                <w:szCs w:val="24"/>
              </w:rPr>
              <w:t xml:space="preserve">Doxycycline </w:t>
            </w:r>
            <w:proofErr w:type="gramStart"/>
            <w:r w:rsidRPr="002449E5">
              <w:rPr>
                <w:sz w:val="24"/>
                <w:szCs w:val="24"/>
              </w:rPr>
              <w:t>can be taken</w:t>
            </w:r>
            <w:proofErr w:type="gramEnd"/>
            <w:r w:rsidRPr="002449E5">
              <w:rPr>
                <w:sz w:val="24"/>
                <w:szCs w:val="24"/>
              </w:rPr>
              <w:t xml:space="preserve"> as often as </w:t>
            </w:r>
            <w:r w:rsidR="0026430F">
              <w:rPr>
                <w:sz w:val="24"/>
                <w:szCs w:val="24"/>
              </w:rPr>
              <w:t>once daily</w:t>
            </w:r>
            <w:r w:rsidRPr="002449E5">
              <w:rPr>
                <w:sz w:val="24"/>
                <w:szCs w:val="24"/>
              </w:rPr>
              <w:t>, depending on frequency of sexual activity, but individuals should not take more than 200 mg within a 24-hour period.</w:t>
            </w:r>
          </w:p>
        </w:tc>
      </w:tr>
      <w:tr w:rsidR="00A8033E" w:rsidRPr="00100C2E" w:rsidTr="00DF74B8">
        <w:tc>
          <w:tcPr>
            <w:tcW w:w="9355" w:type="dxa"/>
          </w:tcPr>
          <w:p w:rsidR="00A8033E" w:rsidRPr="00420E01" w:rsidRDefault="00A8033E" w:rsidP="00DF74B8">
            <w:pPr>
              <w:rPr>
                <w:sz w:val="24"/>
                <w:szCs w:val="24"/>
              </w:rPr>
            </w:pPr>
            <w:r w:rsidRPr="002449E5">
              <w:rPr>
                <w:sz w:val="24"/>
                <w:szCs w:val="24"/>
              </w:rPr>
              <w:t>Take doxycycline with fluids and remain upright for 30 minutes after the dose. Taking doxycycline with food may increase tolerability</w:t>
            </w:r>
            <w:r w:rsidR="0026430F">
              <w:rPr>
                <w:sz w:val="24"/>
                <w:szCs w:val="24"/>
              </w:rPr>
              <w:t>, avoiding potential GI side effects</w:t>
            </w:r>
            <w:r w:rsidRPr="002449E5">
              <w:rPr>
                <w:sz w:val="24"/>
                <w:szCs w:val="24"/>
              </w:rPr>
              <w:t>.</w:t>
            </w:r>
          </w:p>
        </w:tc>
      </w:tr>
      <w:tr w:rsidR="00A8033E" w:rsidRPr="00100C2E" w:rsidTr="00DF74B8">
        <w:tc>
          <w:tcPr>
            <w:tcW w:w="9355" w:type="dxa"/>
          </w:tcPr>
          <w:p w:rsidR="00A8033E" w:rsidRPr="002449E5" w:rsidRDefault="00A8033E" w:rsidP="00DF74B8">
            <w:pPr>
              <w:rPr>
                <w:sz w:val="24"/>
                <w:szCs w:val="24"/>
              </w:rPr>
            </w:pPr>
            <w:r w:rsidRPr="002449E5">
              <w:rPr>
                <w:sz w:val="24"/>
                <w:szCs w:val="24"/>
              </w:rPr>
              <w:lastRenderedPageBreak/>
              <w:t xml:space="preserve">Either doxycycline </w:t>
            </w:r>
            <w:proofErr w:type="spellStart"/>
            <w:r w:rsidRPr="002449E5">
              <w:rPr>
                <w:sz w:val="24"/>
                <w:szCs w:val="24"/>
              </w:rPr>
              <w:t>hyclate</w:t>
            </w:r>
            <w:proofErr w:type="spellEnd"/>
            <w:r w:rsidRPr="002449E5">
              <w:rPr>
                <w:sz w:val="24"/>
                <w:szCs w:val="24"/>
              </w:rPr>
              <w:t xml:space="preserve"> OR doxycycline monohydrate immediate release 100 mg tabs (2 tabs taken simultaneously) are acceptable</w:t>
            </w:r>
            <w:r w:rsidR="00F4397D">
              <w:rPr>
                <w:sz w:val="24"/>
                <w:szCs w:val="24"/>
              </w:rPr>
              <w:t xml:space="preserve"> formulations for </w:t>
            </w:r>
            <w:proofErr w:type="spellStart"/>
            <w:r w:rsidR="00F4397D">
              <w:rPr>
                <w:sz w:val="24"/>
                <w:szCs w:val="24"/>
              </w:rPr>
              <w:t>DoxyPEP</w:t>
            </w:r>
            <w:proofErr w:type="spellEnd"/>
            <w:r w:rsidRPr="002449E5">
              <w:rPr>
                <w:sz w:val="24"/>
                <w:szCs w:val="24"/>
              </w:rPr>
              <w:t>.</w:t>
            </w:r>
          </w:p>
        </w:tc>
      </w:tr>
      <w:tr w:rsidR="00A8033E" w:rsidRPr="00100C2E" w:rsidTr="00DF74B8">
        <w:tc>
          <w:tcPr>
            <w:tcW w:w="9355" w:type="dxa"/>
          </w:tcPr>
          <w:p w:rsidR="00A8033E" w:rsidRPr="002449E5" w:rsidRDefault="00A8033E" w:rsidP="00F4397D">
            <w:pPr>
              <w:rPr>
                <w:sz w:val="24"/>
                <w:szCs w:val="24"/>
              </w:rPr>
            </w:pPr>
            <w:r w:rsidRPr="002449E5">
              <w:rPr>
                <w:sz w:val="24"/>
                <w:szCs w:val="24"/>
              </w:rPr>
              <w:t xml:space="preserve">Do not take concurrently with </w:t>
            </w:r>
            <w:r w:rsidR="00F4397D">
              <w:rPr>
                <w:sz w:val="24"/>
                <w:szCs w:val="24"/>
              </w:rPr>
              <w:t>any antacids</w:t>
            </w:r>
            <w:r w:rsidRPr="002449E5">
              <w:rPr>
                <w:sz w:val="24"/>
                <w:szCs w:val="24"/>
              </w:rPr>
              <w:t xml:space="preserve"> </w:t>
            </w:r>
            <w:r w:rsidR="00F4397D">
              <w:rPr>
                <w:sz w:val="24"/>
                <w:szCs w:val="24"/>
              </w:rPr>
              <w:t xml:space="preserve">(e.g. H2 blockers, PPIs) or vitamin supplements (e.g. </w:t>
            </w:r>
            <w:r w:rsidRPr="002449E5">
              <w:rPr>
                <w:sz w:val="24"/>
                <w:szCs w:val="24"/>
              </w:rPr>
              <w:t>iron and calcium carbonate</w:t>
            </w:r>
            <w:r w:rsidR="00F4397D">
              <w:rPr>
                <w:sz w:val="24"/>
                <w:szCs w:val="24"/>
              </w:rPr>
              <w:t>)</w:t>
            </w:r>
            <w:r w:rsidRPr="002449E5">
              <w:rPr>
                <w:sz w:val="24"/>
                <w:szCs w:val="24"/>
              </w:rPr>
              <w:t>. Take doxycycline at least 1 hour before or 2 hours after antacids, calcium or iron containing products.</w:t>
            </w:r>
          </w:p>
        </w:tc>
      </w:tr>
      <w:tr w:rsidR="00A8033E" w:rsidRPr="00100C2E" w:rsidTr="00DF74B8">
        <w:tc>
          <w:tcPr>
            <w:tcW w:w="9355" w:type="dxa"/>
          </w:tcPr>
          <w:p w:rsidR="00A8033E" w:rsidRPr="002449E5" w:rsidRDefault="00A8033E" w:rsidP="00DF74B8">
            <w:pPr>
              <w:rPr>
                <w:sz w:val="24"/>
                <w:szCs w:val="24"/>
              </w:rPr>
            </w:pPr>
            <w:r w:rsidRPr="002449E5">
              <w:rPr>
                <w:sz w:val="24"/>
                <w:szCs w:val="24"/>
              </w:rPr>
              <w:t>For ICD-10 diagnosis code, use Z20.2 (Contact with and [suspected] exposure to infections with a predominantly sexual mode of transmission).</w:t>
            </w:r>
          </w:p>
        </w:tc>
      </w:tr>
    </w:tbl>
    <w:p w:rsidR="00A8033E" w:rsidRDefault="00A8033E" w:rsidP="00A8033E">
      <w:pPr>
        <w:contextualSpacing/>
        <w:rPr>
          <w:rFonts w:cstheme="minorHAnsi"/>
          <w:b/>
          <w:bCs/>
          <w:sz w:val="24"/>
          <w:szCs w:val="24"/>
        </w:rPr>
      </w:pPr>
    </w:p>
    <w:p w:rsidR="00A8033E" w:rsidRDefault="00A8033E" w:rsidP="00A8033E">
      <w:pPr>
        <w:contextualSpacing/>
        <w:rPr>
          <w:rFonts w:cstheme="minorHAnsi"/>
          <w:b/>
          <w:bCs/>
          <w:sz w:val="24"/>
          <w:szCs w:val="24"/>
        </w:rPr>
      </w:pPr>
    </w:p>
    <w:p w:rsidR="00A8033E" w:rsidRDefault="00A8033E" w:rsidP="00A8033E">
      <w:pPr>
        <w:contextualSpacing/>
        <w:rPr>
          <w:rFonts w:cstheme="minorHAnsi"/>
          <w:b/>
          <w:bCs/>
          <w:sz w:val="24"/>
          <w:szCs w:val="24"/>
        </w:rPr>
      </w:pPr>
      <w:r w:rsidRPr="000E56DA">
        <w:rPr>
          <w:rFonts w:cstheme="minorHAnsi"/>
          <w:b/>
          <w:bCs/>
          <w:sz w:val="24"/>
          <w:szCs w:val="24"/>
        </w:rPr>
        <w:t>C</w:t>
      </w:r>
      <w:r>
        <w:rPr>
          <w:rFonts w:cstheme="minorHAnsi"/>
          <w:b/>
          <w:bCs/>
          <w:sz w:val="24"/>
          <w:szCs w:val="24"/>
        </w:rPr>
        <w:t>onsiderations</w:t>
      </w:r>
      <w:r w:rsidRPr="000E56DA">
        <w:rPr>
          <w:rFonts w:cstheme="minorHAnsi"/>
          <w:b/>
          <w:bCs/>
          <w:sz w:val="24"/>
          <w:szCs w:val="24"/>
        </w:rPr>
        <w:t xml:space="preserve"> </w:t>
      </w:r>
      <w:r>
        <w:rPr>
          <w:rFonts w:cstheme="minorHAnsi"/>
          <w:b/>
          <w:bCs/>
          <w:sz w:val="24"/>
          <w:szCs w:val="24"/>
        </w:rPr>
        <w:t xml:space="preserve">when providing </w:t>
      </w:r>
      <w:proofErr w:type="spellStart"/>
      <w:r>
        <w:rPr>
          <w:rFonts w:cstheme="minorHAnsi"/>
          <w:b/>
          <w:bCs/>
          <w:sz w:val="24"/>
          <w:szCs w:val="24"/>
        </w:rPr>
        <w:t>DoxyPEP</w:t>
      </w:r>
      <w:proofErr w:type="spellEnd"/>
      <w:r w:rsidRPr="000E56DA">
        <w:rPr>
          <w:rFonts w:cstheme="minorHAnsi"/>
          <w:b/>
          <w:bCs/>
          <w:sz w:val="24"/>
          <w:szCs w:val="24"/>
        </w:rPr>
        <w:t xml:space="preserve"> for the prevention of bacterial STIs.</w:t>
      </w:r>
    </w:p>
    <w:p w:rsidR="00A8033E" w:rsidRPr="000777AD" w:rsidRDefault="00A8033E" w:rsidP="00A8033E">
      <w:pPr>
        <w:contextualSpacing/>
        <w:rPr>
          <w:rFonts w:cstheme="minorHAnsi"/>
          <w:b/>
          <w:bCs/>
          <w:sz w:val="24"/>
          <w:szCs w:val="24"/>
        </w:rPr>
      </w:pPr>
    </w:p>
    <w:tbl>
      <w:tblPr>
        <w:tblStyle w:val="TableGrid"/>
        <w:tblW w:w="0" w:type="auto"/>
        <w:tblLook w:val="04A0" w:firstRow="1" w:lastRow="0" w:firstColumn="1" w:lastColumn="0" w:noHBand="0" w:noVBand="1"/>
      </w:tblPr>
      <w:tblGrid>
        <w:gridCol w:w="265"/>
        <w:gridCol w:w="9085"/>
      </w:tblGrid>
      <w:tr w:rsidR="00A8033E" w:rsidTr="00DF74B8">
        <w:tc>
          <w:tcPr>
            <w:tcW w:w="9350" w:type="dxa"/>
            <w:gridSpan w:val="2"/>
            <w:shd w:val="clear" w:color="auto" w:fill="F7CAAC" w:themeFill="accent2" w:themeFillTint="66"/>
          </w:tcPr>
          <w:p w:rsidR="00A8033E" w:rsidRDefault="00A8033E" w:rsidP="00DF74B8">
            <w:pPr>
              <w:contextualSpacing/>
              <w:rPr>
                <w:rFonts w:cstheme="minorHAnsi"/>
                <w:sz w:val="24"/>
                <w:szCs w:val="24"/>
              </w:rPr>
            </w:pPr>
            <w:r>
              <w:rPr>
                <w:rFonts w:cstheme="minorHAnsi"/>
                <w:b/>
                <w:bCs/>
                <w:sz w:val="24"/>
                <w:szCs w:val="24"/>
              </w:rPr>
              <w:t>At initial PEP visit</w:t>
            </w:r>
          </w:p>
        </w:tc>
      </w:tr>
      <w:tr w:rsidR="00A8033E" w:rsidTr="00DF74B8">
        <w:tc>
          <w:tcPr>
            <w:tcW w:w="265" w:type="dxa"/>
            <w:vMerge w:val="restart"/>
          </w:tcPr>
          <w:p w:rsidR="00A8033E" w:rsidRPr="00CC0DA3" w:rsidRDefault="00A8033E" w:rsidP="00DF74B8">
            <w:pPr>
              <w:contextualSpacing/>
              <w:rPr>
                <w:rFonts w:cstheme="minorHAnsi"/>
                <w:sz w:val="24"/>
                <w:szCs w:val="24"/>
              </w:rPr>
            </w:pPr>
          </w:p>
        </w:tc>
        <w:tc>
          <w:tcPr>
            <w:tcW w:w="9085" w:type="dxa"/>
          </w:tcPr>
          <w:p w:rsidR="00A8033E" w:rsidRPr="003C13B2" w:rsidRDefault="00A8033E" w:rsidP="00DF74B8">
            <w:pPr>
              <w:contextualSpacing/>
              <w:rPr>
                <w:rFonts w:cstheme="minorHAnsi"/>
                <w:b/>
                <w:bCs/>
                <w:sz w:val="24"/>
                <w:szCs w:val="24"/>
              </w:rPr>
            </w:pPr>
            <w:r w:rsidRPr="002449E5">
              <w:rPr>
                <w:sz w:val="24"/>
                <w:szCs w:val="24"/>
              </w:rPr>
              <w:t xml:space="preserve">Screen and treat as indicated for STIs (taking specimens for gonorrhea and chlamydia at </w:t>
            </w:r>
            <w:r w:rsidR="005555D4">
              <w:rPr>
                <w:sz w:val="24"/>
                <w:szCs w:val="24"/>
              </w:rPr>
              <w:t xml:space="preserve">all relevant </w:t>
            </w:r>
            <w:r w:rsidRPr="002449E5">
              <w:rPr>
                <w:sz w:val="24"/>
                <w:szCs w:val="24"/>
              </w:rPr>
              <w:t>anatomic sites of exposure, and blood for syphilis and HIV)</w:t>
            </w:r>
            <w:r>
              <w:rPr>
                <w:sz w:val="24"/>
                <w:szCs w:val="24"/>
              </w:rPr>
              <w:t>.  Presumptively treat individuals that are having signs and symptoms of an STI(s), or have known exposure to an STI(s).</w:t>
            </w:r>
          </w:p>
        </w:tc>
      </w:tr>
      <w:tr w:rsidR="00A8033E" w:rsidTr="00DF74B8">
        <w:tc>
          <w:tcPr>
            <w:tcW w:w="265" w:type="dxa"/>
            <w:vMerge/>
          </w:tcPr>
          <w:p w:rsidR="00A8033E" w:rsidRPr="00CC0DA3" w:rsidRDefault="00A8033E" w:rsidP="00DF74B8">
            <w:pPr>
              <w:contextualSpacing/>
              <w:rPr>
                <w:rFonts w:cstheme="minorHAnsi"/>
                <w:sz w:val="24"/>
                <w:szCs w:val="24"/>
              </w:rPr>
            </w:pPr>
          </w:p>
        </w:tc>
        <w:tc>
          <w:tcPr>
            <w:tcW w:w="9085" w:type="dxa"/>
          </w:tcPr>
          <w:p w:rsidR="00A8033E" w:rsidRDefault="00A8033E" w:rsidP="00DF74B8">
            <w:pPr>
              <w:contextualSpacing/>
              <w:rPr>
                <w:rFonts w:cstheme="minorHAnsi"/>
                <w:sz w:val="24"/>
                <w:szCs w:val="24"/>
              </w:rPr>
            </w:pPr>
            <w:r>
              <w:rPr>
                <w:rFonts w:cstheme="minorHAnsi"/>
                <w:sz w:val="24"/>
                <w:szCs w:val="24"/>
              </w:rPr>
              <w:t xml:space="preserve">Counsel on risk reduction strategies including condom use, partner reduction, and accessing HIV </w:t>
            </w:r>
            <w:proofErr w:type="spellStart"/>
            <w:r>
              <w:rPr>
                <w:rFonts w:cstheme="minorHAnsi"/>
                <w:sz w:val="24"/>
                <w:szCs w:val="24"/>
              </w:rPr>
              <w:t>PrEP</w:t>
            </w:r>
            <w:proofErr w:type="spellEnd"/>
            <w:r>
              <w:rPr>
                <w:rFonts w:cstheme="minorHAnsi"/>
                <w:sz w:val="24"/>
                <w:szCs w:val="24"/>
              </w:rPr>
              <w:t>, HIV PEP, or HIV treatment as indicated.  Counseling should include a discussion of benefits and known and unknown harms of doxycycline as PEP, including reduction in bacterial STIs, a discussion of potential si</w:t>
            </w:r>
            <w:r w:rsidR="0018319C">
              <w:rPr>
                <w:rFonts w:cstheme="minorHAnsi"/>
                <w:sz w:val="24"/>
                <w:szCs w:val="24"/>
              </w:rPr>
              <w:t xml:space="preserve">de effects such as </w:t>
            </w:r>
            <w:proofErr w:type="spellStart"/>
            <w:r w:rsidR="0018319C">
              <w:rPr>
                <w:rFonts w:cstheme="minorHAnsi"/>
                <w:sz w:val="24"/>
                <w:szCs w:val="24"/>
              </w:rPr>
              <w:t>phototoxic</w:t>
            </w:r>
            <w:r>
              <w:rPr>
                <w:rFonts w:cstheme="minorHAnsi"/>
                <w:sz w:val="24"/>
                <w:szCs w:val="24"/>
              </w:rPr>
              <w:t>ity</w:t>
            </w:r>
            <w:proofErr w:type="spellEnd"/>
            <w:r>
              <w:rPr>
                <w:rFonts w:cstheme="minorHAnsi"/>
                <w:sz w:val="24"/>
                <w:szCs w:val="24"/>
              </w:rPr>
              <w:t xml:space="preserve">, esophagitis and esophageal discomfort, </w:t>
            </w:r>
            <w:r w:rsidR="0018319C">
              <w:rPr>
                <w:rFonts w:cstheme="minorHAnsi"/>
                <w:sz w:val="24"/>
                <w:szCs w:val="24"/>
              </w:rPr>
              <w:t xml:space="preserve">gastrointestinal symptoms, </w:t>
            </w:r>
            <w:r>
              <w:rPr>
                <w:rFonts w:cstheme="minorHAnsi"/>
                <w:sz w:val="24"/>
                <w:szCs w:val="24"/>
              </w:rPr>
              <w:t xml:space="preserve">and the potential for the development of resistance in other pathogens and commensal organisms. </w:t>
            </w:r>
          </w:p>
        </w:tc>
      </w:tr>
      <w:tr w:rsidR="00624535" w:rsidTr="00DF74B8">
        <w:tc>
          <w:tcPr>
            <w:tcW w:w="265" w:type="dxa"/>
          </w:tcPr>
          <w:p w:rsidR="00624535" w:rsidRPr="00CC0DA3" w:rsidRDefault="00624535" w:rsidP="00DF74B8">
            <w:pPr>
              <w:contextualSpacing/>
              <w:rPr>
                <w:rFonts w:cstheme="minorHAnsi"/>
                <w:sz w:val="24"/>
                <w:szCs w:val="24"/>
              </w:rPr>
            </w:pPr>
          </w:p>
        </w:tc>
        <w:tc>
          <w:tcPr>
            <w:tcW w:w="9085" w:type="dxa"/>
          </w:tcPr>
          <w:p w:rsidR="00624535" w:rsidRDefault="00624535" w:rsidP="00DF74B8">
            <w:pPr>
              <w:contextualSpacing/>
              <w:rPr>
                <w:rFonts w:cstheme="minorHAnsi"/>
                <w:sz w:val="24"/>
                <w:szCs w:val="24"/>
              </w:rPr>
            </w:pPr>
            <w:r>
              <w:rPr>
                <w:rFonts w:cstheme="minorHAnsi"/>
                <w:sz w:val="24"/>
                <w:szCs w:val="24"/>
              </w:rPr>
              <w:t xml:space="preserve">If having signs and symptoms of an STI(s), regardless of taking </w:t>
            </w:r>
            <w:proofErr w:type="spellStart"/>
            <w:r>
              <w:rPr>
                <w:rFonts w:cstheme="minorHAnsi"/>
                <w:sz w:val="24"/>
                <w:szCs w:val="24"/>
              </w:rPr>
              <w:t>DoxyPEP</w:t>
            </w:r>
            <w:proofErr w:type="spellEnd"/>
            <w:r>
              <w:rPr>
                <w:rFonts w:cstheme="minorHAnsi"/>
                <w:sz w:val="24"/>
                <w:szCs w:val="24"/>
              </w:rPr>
              <w:t>, one should immediate</w:t>
            </w:r>
            <w:r w:rsidR="00E30AFE">
              <w:rPr>
                <w:rFonts w:cstheme="minorHAnsi"/>
                <w:sz w:val="24"/>
                <w:szCs w:val="24"/>
              </w:rPr>
              <w:t xml:space="preserve">ly get tested and </w:t>
            </w:r>
            <w:r>
              <w:rPr>
                <w:rFonts w:cstheme="minorHAnsi"/>
                <w:sz w:val="24"/>
                <w:szCs w:val="24"/>
              </w:rPr>
              <w:t>treated</w:t>
            </w:r>
            <w:r w:rsidR="00E30AFE">
              <w:rPr>
                <w:rFonts w:cstheme="minorHAnsi"/>
                <w:sz w:val="24"/>
                <w:szCs w:val="24"/>
              </w:rPr>
              <w:t xml:space="preserve"> for that STI(s) and abstain from sex for seven days post-treatment.  Conduct partner notification and expedited partner therapy as appropriate.</w:t>
            </w:r>
          </w:p>
        </w:tc>
      </w:tr>
      <w:tr w:rsidR="00A8033E" w:rsidTr="00DF74B8">
        <w:tc>
          <w:tcPr>
            <w:tcW w:w="265" w:type="dxa"/>
          </w:tcPr>
          <w:p w:rsidR="00A8033E" w:rsidRPr="00CC0DA3" w:rsidRDefault="00A8033E" w:rsidP="00DF74B8">
            <w:pPr>
              <w:contextualSpacing/>
              <w:rPr>
                <w:rFonts w:cstheme="minorHAnsi"/>
                <w:sz w:val="24"/>
                <w:szCs w:val="24"/>
              </w:rPr>
            </w:pPr>
          </w:p>
        </w:tc>
        <w:tc>
          <w:tcPr>
            <w:tcW w:w="9085" w:type="dxa"/>
          </w:tcPr>
          <w:p w:rsidR="00A8033E" w:rsidRDefault="00A8033E" w:rsidP="00DF74B8">
            <w:pPr>
              <w:contextualSpacing/>
              <w:rPr>
                <w:rFonts w:cstheme="minorHAnsi"/>
                <w:sz w:val="24"/>
                <w:szCs w:val="24"/>
              </w:rPr>
            </w:pPr>
            <w:r>
              <w:rPr>
                <w:rFonts w:cstheme="minorHAnsi"/>
                <w:sz w:val="24"/>
                <w:szCs w:val="24"/>
              </w:rPr>
              <w:t>Provide enough doses of doxycycline to cover until next follow-up visit (3-6 months) based on individual’s needs.</w:t>
            </w:r>
          </w:p>
        </w:tc>
      </w:tr>
      <w:tr w:rsidR="00A8033E" w:rsidTr="00DF74B8">
        <w:tc>
          <w:tcPr>
            <w:tcW w:w="9350" w:type="dxa"/>
            <w:gridSpan w:val="2"/>
            <w:shd w:val="clear" w:color="auto" w:fill="F7CAAC" w:themeFill="accent2" w:themeFillTint="66"/>
          </w:tcPr>
          <w:p w:rsidR="00A8033E" w:rsidRDefault="00A8033E" w:rsidP="00DF74B8">
            <w:pPr>
              <w:contextualSpacing/>
              <w:rPr>
                <w:rFonts w:cstheme="minorHAnsi"/>
                <w:sz w:val="24"/>
                <w:szCs w:val="24"/>
              </w:rPr>
            </w:pPr>
            <w:r w:rsidRPr="00AA6F33">
              <w:rPr>
                <w:rFonts w:cstheme="minorHAnsi"/>
                <w:b/>
                <w:bCs/>
                <w:sz w:val="24"/>
                <w:szCs w:val="24"/>
              </w:rPr>
              <w:t>At follow-up visits</w:t>
            </w:r>
          </w:p>
        </w:tc>
      </w:tr>
      <w:tr w:rsidR="00A8033E" w:rsidTr="00DF74B8">
        <w:trPr>
          <w:trHeight w:val="323"/>
        </w:trPr>
        <w:tc>
          <w:tcPr>
            <w:tcW w:w="265" w:type="dxa"/>
            <w:vMerge w:val="restart"/>
          </w:tcPr>
          <w:p w:rsidR="00A8033E" w:rsidRPr="00CC0DA3" w:rsidRDefault="00A8033E" w:rsidP="00DF74B8">
            <w:pPr>
              <w:contextualSpacing/>
              <w:rPr>
                <w:rFonts w:cstheme="minorHAnsi"/>
                <w:sz w:val="24"/>
                <w:szCs w:val="24"/>
              </w:rPr>
            </w:pPr>
          </w:p>
        </w:tc>
        <w:tc>
          <w:tcPr>
            <w:tcW w:w="9085" w:type="dxa"/>
          </w:tcPr>
          <w:p w:rsidR="00A8033E" w:rsidRDefault="00A8033E" w:rsidP="00DF74B8">
            <w:pPr>
              <w:contextualSpacing/>
              <w:rPr>
                <w:rFonts w:cstheme="minorHAnsi"/>
                <w:sz w:val="24"/>
                <w:szCs w:val="24"/>
              </w:rPr>
            </w:pPr>
            <w:r w:rsidRPr="0039027E">
              <w:rPr>
                <w:rFonts w:cstheme="minorHAnsi"/>
                <w:sz w:val="24"/>
                <w:szCs w:val="24"/>
              </w:rPr>
              <w:t xml:space="preserve">Screen for </w:t>
            </w:r>
            <w:r>
              <w:rPr>
                <w:rFonts w:cstheme="minorHAnsi"/>
                <w:sz w:val="24"/>
                <w:szCs w:val="24"/>
              </w:rPr>
              <w:t>gonorrhea, chlamydia and syphilis</w:t>
            </w:r>
            <w:r w:rsidRPr="0039027E">
              <w:rPr>
                <w:rFonts w:cstheme="minorHAnsi"/>
                <w:sz w:val="24"/>
                <w:szCs w:val="24"/>
              </w:rPr>
              <w:t xml:space="preserve"> every 3-6 months</w:t>
            </w:r>
            <w:r w:rsidR="005555D4">
              <w:rPr>
                <w:rFonts w:cstheme="minorHAnsi"/>
                <w:sz w:val="24"/>
                <w:szCs w:val="24"/>
              </w:rPr>
              <w:t xml:space="preserve">. As above, test for gonorrhea and chlamydia at all relevant anatomic sites of exposure. </w:t>
            </w:r>
          </w:p>
        </w:tc>
      </w:tr>
      <w:tr w:rsidR="00A8033E" w:rsidTr="00DF74B8">
        <w:tc>
          <w:tcPr>
            <w:tcW w:w="265" w:type="dxa"/>
            <w:vMerge/>
          </w:tcPr>
          <w:p w:rsidR="00A8033E" w:rsidRPr="00CC0DA3" w:rsidRDefault="00A8033E" w:rsidP="00DF74B8">
            <w:pPr>
              <w:contextualSpacing/>
              <w:rPr>
                <w:rFonts w:cstheme="minorHAnsi"/>
                <w:sz w:val="24"/>
                <w:szCs w:val="24"/>
              </w:rPr>
            </w:pPr>
          </w:p>
        </w:tc>
        <w:tc>
          <w:tcPr>
            <w:tcW w:w="9085" w:type="dxa"/>
          </w:tcPr>
          <w:p w:rsidR="00A8033E" w:rsidRDefault="00A8033E" w:rsidP="00DF74B8">
            <w:pPr>
              <w:contextualSpacing/>
              <w:rPr>
                <w:rFonts w:cstheme="minorHAnsi"/>
                <w:sz w:val="24"/>
                <w:szCs w:val="24"/>
              </w:rPr>
            </w:pPr>
            <w:r>
              <w:rPr>
                <w:rFonts w:cstheme="minorHAnsi"/>
                <w:sz w:val="24"/>
                <w:szCs w:val="24"/>
              </w:rPr>
              <w:t xml:space="preserve">For HIV negative individuals receiving HIV </w:t>
            </w:r>
            <w:proofErr w:type="spellStart"/>
            <w:r>
              <w:rPr>
                <w:rFonts w:cstheme="minorHAnsi"/>
                <w:sz w:val="24"/>
                <w:szCs w:val="24"/>
              </w:rPr>
              <w:t>PrEP</w:t>
            </w:r>
            <w:proofErr w:type="spellEnd"/>
            <w:r>
              <w:rPr>
                <w:rFonts w:cstheme="minorHAnsi"/>
                <w:sz w:val="24"/>
                <w:szCs w:val="24"/>
              </w:rPr>
              <w:t xml:space="preserve">, screen per CDC HIV </w:t>
            </w:r>
            <w:proofErr w:type="spellStart"/>
            <w:r>
              <w:rPr>
                <w:rFonts w:cstheme="minorHAnsi"/>
                <w:sz w:val="24"/>
                <w:szCs w:val="24"/>
              </w:rPr>
              <w:t>PrEP</w:t>
            </w:r>
            <w:proofErr w:type="spellEnd"/>
            <w:r>
              <w:rPr>
                <w:rFonts w:cstheme="minorHAnsi"/>
                <w:sz w:val="24"/>
                <w:szCs w:val="24"/>
              </w:rPr>
              <w:t xml:space="preserve"> guidance (</w:t>
            </w:r>
            <w:hyperlink r:id="rId7" w:history="1">
              <w:r w:rsidRPr="008579D2">
                <w:rPr>
                  <w:rStyle w:val="Hyperlink"/>
                  <w:rFonts w:cstheme="minorHAnsi"/>
                  <w:sz w:val="24"/>
                  <w:szCs w:val="24"/>
                </w:rPr>
                <w:t>https://www.cdc.gov/hiv/pdf/risk/prep/cdc-hiv-prep-guidelines-2021.pdf</w:t>
              </w:r>
            </w:hyperlink>
            <w:r>
              <w:rPr>
                <w:rFonts w:cstheme="minorHAnsi"/>
                <w:sz w:val="24"/>
                <w:szCs w:val="24"/>
              </w:rPr>
              <w:t xml:space="preserve">). For HIV negative individuals not receiving HIV </w:t>
            </w:r>
            <w:proofErr w:type="spellStart"/>
            <w:r>
              <w:rPr>
                <w:rFonts w:cstheme="minorHAnsi"/>
                <w:sz w:val="24"/>
                <w:szCs w:val="24"/>
              </w:rPr>
              <w:t>PrEP</w:t>
            </w:r>
            <w:proofErr w:type="spellEnd"/>
            <w:r>
              <w:rPr>
                <w:rFonts w:cstheme="minorHAnsi"/>
                <w:sz w:val="24"/>
                <w:szCs w:val="24"/>
              </w:rPr>
              <w:t xml:space="preserve">, consider screening every 3-6 months. </w:t>
            </w:r>
          </w:p>
        </w:tc>
      </w:tr>
      <w:tr w:rsidR="00A8033E" w:rsidTr="00DF74B8">
        <w:tc>
          <w:tcPr>
            <w:tcW w:w="265" w:type="dxa"/>
            <w:vMerge/>
          </w:tcPr>
          <w:p w:rsidR="00A8033E" w:rsidRPr="00CC0DA3" w:rsidRDefault="00A8033E" w:rsidP="00DF74B8">
            <w:pPr>
              <w:contextualSpacing/>
              <w:rPr>
                <w:rFonts w:cstheme="minorHAnsi"/>
                <w:sz w:val="24"/>
                <w:szCs w:val="24"/>
              </w:rPr>
            </w:pPr>
          </w:p>
        </w:tc>
        <w:tc>
          <w:tcPr>
            <w:tcW w:w="9085" w:type="dxa"/>
          </w:tcPr>
          <w:p w:rsidR="00A8033E" w:rsidRDefault="00A8033E" w:rsidP="00DF74B8">
            <w:pPr>
              <w:contextualSpacing/>
              <w:rPr>
                <w:rFonts w:cstheme="minorHAnsi"/>
                <w:sz w:val="24"/>
                <w:szCs w:val="24"/>
              </w:rPr>
            </w:pPr>
            <w:r>
              <w:rPr>
                <w:rFonts w:cstheme="minorHAnsi"/>
                <w:sz w:val="24"/>
                <w:szCs w:val="24"/>
              </w:rPr>
              <w:t>Re-ass</w:t>
            </w:r>
            <w:r w:rsidR="008B0F25">
              <w:rPr>
                <w:rFonts w:cstheme="minorHAnsi"/>
                <w:sz w:val="24"/>
                <w:szCs w:val="24"/>
              </w:rPr>
              <w:t>e</w:t>
            </w:r>
            <w:r w:rsidR="0009211D">
              <w:rPr>
                <w:rFonts w:cstheme="minorHAnsi"/>
                <w:sz w:val="24"/>
                <w:szCs w:val="24"/>
              </w:rPr>
              <w:t xml:space="preserve">ss need for doxycycline as PEP following similar guidelines for re-assessing need for HIV </w:t>
            </w:r>
            <w:proofErr w:type="spellStart"/>
            <w:r w:rsidR="0009211D">
              <w:rPr>
                <w:rFonts w:cstheme="minorHAnsi"/>
                <w:sz w:val="24"/>
                <w:szCs w:val="24"/>
              </w:rPr>
              <w:t>PrEP.</w:t>
            </w:r>
            <w:proofErr w:type="spellEnd"/>
            <w:r w:rsidR="0009211D">
              <w:rPr>
                <w:rFonts w:cstheme="minorHAnsi"/>
                <w:sz w:val="24"/>
                <w:szCs w:val="24"/>
              </w:rPr>
              <w:t xml:space="preserve">  (</w:t>
            </w:r>
            <w:hyperlink r:id="rId8" w:history="1">
              <w:r w:rsidR="0009211D" w:rsidRPr="00482A42">
                <w:rPr>
                  <w:rStyle w:val="Hyperlink"/>
                  <w:rFonts w:cstheme="minorHAnsi"/>
                  <w:sz w:val="24"/>
                  <w:szCs w:val="24"/>
                </w:rPr>
                <w:t>https://www.cdc.gov/hiv/basics/prep/starting-stopping-prep.html</w:t>
              </w:r>
            </w:hyperlink>
            <w:r w:rsidR="0009211D">
              <w:rPr>
                <w:rFonts w:cstheme="minorHAnsi"/>
                <w:sz w:val="24"/>
                <w:szCs w:val="24"/>
              </w:rPr>
              <w:t xml:space="preserve">) </w:t>
            </w:r>
          </w:p>
        </w:tc>
      </w:tr>
      <w:tr w:rsidR="00A8033E" w:rsidTr="00DF74B8">
        <w:tc>
          <w:tcPr>
            <w:tcW w:w="265" w:type="dxa"/>
            <w:vMerge/>
          </w:tcPr>
          <w:p w:rsidR="00A8033E" w:rsidRPr="00CC0DA3" w:rsidRDefault="00A8033E" w:rsidP="00DF74B8">
            <w:pPr>
              <w:contextualSpacing/>
              <w:rPr>
                <w:rFonts w:cstheme="minorHAnsi"/>
                <w:sz w:val="24"/>
                <w:szCs w:val="24"/>
              </w:rPr>
            </w:pPr>
          </w:p>
        </w:tc>
        <w:tc>
          <w:tcPr>
            <w:tcW w:w="9085" w:type="dxa"/>
          </w:tcPr>
          <w:p w:rsidR="00A8033E" w:rsidRDefault="00A8033E" w:rsidP="00DF74B8">
            <w:pPr>
              <w:contextualSpacing/>
              <w:rPr>
                <w:rFonts w:cstheme="minorHAnsi"/>
                <w:sz w:val="24"/>
                <w:szCs w:val="24"/>
              </w:rPr>
            </w:pPr>
            <w:r>
              <w:rPr>
                <w:rFonts w:cstheme="minorHAnsi"/>
                <w:sz w:val="24"/>
                <w:szCs w:val="24"/>
              </w:rPr>
              <w:t>Provide risk reduction counseling and condoms.</w:t>
            </w:r>
          </w:p>
        </w:tc>
      </w:tr>
      <w:tr w:rsidR="00E30AFE" w:rsidTr="00DF74B8">
        <w:tc>
          <w:tcPr>
            <w:tcW w:w="265" w:type="dxa"/>
          </w:tcPr>
          <w:p w:rsidR="00E30AFE" w:rsidRPr="00CC0DA3" w:rsidRDefault="00E30AFE" w:rsidP="00DF74B8">
            <w:pPr>
              <w:contextualSpacing/>
              <w:rPr>
                <w:rFonts w:cstheme="minorHAnsi"/>
                <w:sz w:val="24"/>
                <w:szCs w:val="24"/>
              </w:rPr>
            </w:pPr>
          </w:p>
        </w:tc>
        <w:tc>
          <w:tcPr>
            <w:tcW w:w="9085" w:type="dxa"/>
          </w:tcPr>
          <w:p w:rsidR="00E30AFE" w:rsidRDefault="00E30AFE" w:rsidP="00FA54FE">
            <w:pPr>
              <w:contextualSpacing/>
              <w:rPr>
                <w:rFonts w:cstheme="minorHAnsi"/>
                <w:sz w:val="24"/>
                <w:szCs w:val="24"/>
              </w:rPr>
            </w:pPr>
            <w:r>
              <w:rPr>
                <w:rFonts w:cstheme="minorHAnsi"/>
                <w:sz w:val="24"/>
                <w:szCs w:val="24"/>
              </w:rPr>
              <w:t xml:space="preserve">Reiterate that if having signs and symptoms of an STI(s), regardless of taking </w:t>
            </w:r>
            <w:proofErr w:type="spellStart"/>
            <w:r>
              <w:rPr>
                <w:rFonts w:cstheme="minorHAnsi"/>
                <w:sz w:val="24"/>
                <w:szCs w:val="24"/>
              </w:rPr>
              <w:t>DoxyPEP</w:t>
            </w:r>
            <w:proofErr w:type="spellEnd"/>
            <w:r>
              <w:rPr>
                <w:rFonts w:cstheme="minorHAnsi"/>
                <w:sz w:val="24"/>
                <w:szCs w:val="24"/>
              </w:rPr>
              <w:t xml:space="preserve">, </w:t>
            </w:r>
            <w:r w:rsidR="00FA54FE">
              <w:rPr>
                <w:rFonts w:cstheme="minorHAnsi"/>
                <w:sz w:val="24"/>
                <w:szCs w:val="24"/>
              </w:rPr>
              <w:t>individuals</w:t>
            </w:r>
            <w:r>
              <w:rPr>
                <w:rFonts w:cstheme="minorHAnsi"/>
                <w:sz w:val="24"/>
                <w:szCs w:val="24"/>
              </w:rPr>
              <w:t xml:space="preserve"> should immediately </w:t>
            </w:r>
            <w:proofErr w:type="gramStart"/>
            <w:r>
              <w:rPr>
                <w:rFonts w:cstheme="minorHAnsi"/>
                <w:sz w:val="24"/>
                <w:szCs w:val="24"/>
              </w:rPr>
              <w:t>get</w:t>
            </w:r>
            <w:proofErr w:type="gramEnd"/>
            <w:r>
              <w:rPr>
                <w:rFonts w:cstheme="minorHAnsi"/>
                <w:sz w:val="24"/>
                <w:szCs w:val="24"/>
              </w:rPr>
              <w:t xml:space="preserve"> tested and treated for that STI(s) and abstain from sex for seven days post-treatment.  Conduct partner notification and expedited partner therapy as appropriate.</w:t>
            </w:r>
          </w:p>
        </w:tc>
      </w:tr>
      <w:tr w:rsidR="00A8033E" w:rsidTr="00DF74B8">
        <w:tc>
          <w:tcPr>
            <w:tcW w:w="265" w:type="dxa"/>
          </w:tcPr>
          <w:p w:rsidR="00A8033E" w:rsidRPr="00CC0DA3" w:rsidRDefault="00A8033E" w:rsidP="00DF74B8">
            <w:pPr>
              <w:contextualSpacing/>
              <w:rPr>
                <w:rFonts w:cstheme="minorHAnsi"/>
                <w:sz w:val="24"/>
                <w:szCs w:val="24"/>
              </w:rPr>
            </w:pPr>
          </w:p>
        </w:tc>
        <w:tc>
          <w:tcPr>
            <w:tcW w:w="9085" w:type="dxa"/>
          </w:tcPr>
          <w:p w:rsidR="00A8033E" w:rsidRDefault="00A8033E" w:rsidP="00DF74B8">
            <w:pPr>
              <w:contextualSpacing/>
              <w:rPr>
                <w:rFonts w:cstheme="minorHAnsi"/>
                <w:sz w:val="24"/>
                <w:szCs w:val="24"/>
              </w:rPr>
            </w:pPr>
            <w:r>
              <w:rPr>
                <w:rFonts w:cstheme="minorHAnsi"/>
                <w:sz w:val="24"/>
                <w:szCs w:val="24"/>
              </w:rPr>
              <w:t>Provide enough doses of doxycycline to cover until next follow-up visit based on individual’s needs.</w:t>
            </w:r>
          </w:p>
          <w:p w:rsidR="00FA5FA0" w:rsidRDefault="00FA5FA0" w:rsidP="00DF74B8">
            <w:pPr>
              <w:contextualSpacing/>
              <w:rPr>
                <w:rFonts w:cstheme="minorHAnsi"/>
                <w:sz w:val="24"/>
                <w:szCs w:val="24"/>
              </w:rPr>
            </w:pPr>
          </w:p>
          <w:p w:rsidR="00FA5FA0" w:rsidRDefault="00FA5FA0" w:rsidP="00DF74B8">
            <w:pPr>
              <w:contextualSpacing/>
              <w:rPr>
                <w:rFonts w:cstheme="minorHAnsi"/>
                <w:sz w:val="24"/>
                <w:szCs w:val="24"/>
              </w:rPr>
            </w:pPr>
          </w:p>
        </w:tc>
      </w:tr>
      <w:tr w:rsidR="00A8033E" w:rsidTr="00DF74B8">
        <w:tc>
          <w:tcPr>
            <w:tcW w:w="9350" w:type="dxa"/>
            <w:gridSpan w:val="2"/>
            <w:shd w:val="clear" w:color="auto" w:fill="F7CAAC" w:themeFill="accent2" w:themeFillTint="66"/>
          </w:tcPr>
          <w:p w:rsidR="00A8033E" w:rsidRDefault="00A8033E" w:rsidP="00DF74B8">
            <w:pPr>
              <w:contextualSpacing/>
              <w:rPr>
                <w:rFonts w:cstheme="minorHAnsi"/>
                <w:sz w:val="24"/>
                <w:szCs w:val="24"/>
              </w:rPr>
            </w:pPr>
            <w:r w:rsidRPr="00AA6F33">
              <w:rPr>
                <w:rFonts w:cstheme="minorHAnsi"/>
                <w:b/>
                <w:bCs/>
                <w:sz w:val="24"/>
                <w:szCs w:val="24"/>
              </w:rPr>
              <w:lastRenderedPageBreak/>
              <w:t>Additional services to consider</w:t>
            </w:r>
          </w:p>
        </w:tc>
      </w:tr>
      <w:tr w:rsidR="00A8033E" w:rsidTr="00DF74B8">
        <w:tc>
          <w:tcPr>
            <w:tcW w:w="265" w:type="dxa"/>
            <w:vMerge w:val="restart"/>
          </w:tcPr>
          <w:p w:rsidR="00A8033E" w:rsidRPr="00CC0DA3" w:rsidRDefault="00A8033E" w:rsidP="00DF74B8">
            <w:pPr>
              <w:contextualSpacing/>
              <w:rPr>
                <w:rFonts w:cstheme="minorHAnsi"/>
                <w:sz w:val="24"/>
                <w:szCs w:val="24"/>
              </w:rPr>
            </w:pPr>
          </w:p>
        </w:tc>
        <w:tc>
          <w:tcPr>
            <w:tcW w:w="9085" w:type="dxa"/>
          </w:tcPr>
          <w:p w:rsidR="00A8033E" w:rsidRDefault="00A8033E" w:rsidP="00FA5FA0">
            <w:pPr>
              <w:contextualSpacing/>
              <w:rPr>
                <w:rFonts w:cstheme="minorHAnsi"/>
                <w:sz w:val="24"/>
                <w:szCs w:val="24"/>
              </w:rPr>
            </w:pPr>
            <w:r>
              <w:rPr>
                <w:rFonts w:cstheme="minorHAnsi"/>
                <w:sz w:val="24"/>
                <w:szCs w:val="24"/>
              </w:rPr>
              <w:t xml:space="preserve">Screen for hepatitis B and C infection; vaccinate against hepatitis B if </w:t>
            </w:r>
            <w:r w:rsidR="00FA5FA0">
              <w:rPr>
                <w:rFonts w:cstheme="minorHAnsi"/>
                <w:sz w:val="24"/>
                <w:szCs w:val="24"/>
              </w:rPr>
              <w:t>non-immune</w:t>
            </w:r>
            <w:r>
              <w:rPr>
                <w:rFonts w:cstheme="minorHAnsi"/>
                <w:sz w:val="24"/>
                <w:szCs w:val="24"/>
              </w:rPr>
              <w:t>.  Administer other vaccines as indicated (MPOX, hepatitis A, HPV).</w:t>
            </w:r>
          </w:p>
        </w:tc>
      </w:tr>
      <w:tr w:rsidR="00A8033E" w:rsidTr="00DF74B8">
        <w:tc>
          <w:tcPr>
            <w:tcW w:w="265" w:type="dxa"/>
            <w:vMerge/>
          </w:tcPr>
          <w:p w:rsidR="00A8033E" w:rsidRPr="00CC0DA3" w:rsidRDefault="00A8033E" w:rsidP="00DF74B8">
            <w:pPr>
              <w:contextualSpacing/>
              <w:rPr>
                <w:rFonts w:cstheme="minorHAnsi"/>
                <w:sz w:val="24"/>
                <w:szCs w:val="24"/>
              </w:rPr>
            </w:pPr>
          </w:p>
        </w:tc>
        <w:tc>
          <w:tcPr>
            <w:tcW w:w="9085" w:type="dxa"/>
          </w:tcPr>
          <w:p w:rsidR="00A8033E" w:rsidRDefault="00A8033E" w:rsidP="00DF74B8">
            <w:pPr>
              <w:contextualSpacing/>
              <w:rPr>
                <w:rFonts w:cstheme="minorHAnsi"/>
                <w:sz w:val="24"/>
                <w:szCs w:val="24"/>
              </w:rPr>
            </w:pPr>
            <w:r>
              <w:rPr>
                <w:rFonts w:cstheme="minorHAnsi"/>
                <w:sz w:val="24"/>
                <w:szCs w:val="24"/>
              </w:rPr>
              <w:t xml:space="preserve">Recommend </w:t>
            </w:r>
            <w:r w:rsidRPr="00100C2E">
              <w:rPr>
                <w:rFonts w:cstheme="minorHAnsi"/>
                <w:sz w:val="24"/>
                <w:szCs w:val="24"/>
              </w:rPr>
              <w:t xml:space="preserve">HIV </w:t>
            </w:r>
            <w:proofErr w:type="spellStart"/>
            <w:r w:rsidRPr="00100C2E">
              <w:rPr>
                <w:rFonts w:cstheme="minorHAnsi"/>
                <w:sz w:val="24"/>
                <w:szCs w:val="24"/>
              </w:rPr>
              <w:t>PrEP</w:t>
            </w:r>
            <w:proofErr w:type="spellEnd"/>
            <w:r w:rsidRPr="00100C2E">
              <w:rPr>
                <w:rFonts w:cstheme="minorHAnsi"/>
                <w:sz w:val="24"/>
                <w:szCs w:val="24"/>
              </w:rPr>
              <w:t xml:space="preserve"> for those at risk of HIV acquisitio</w:t>
            </w:r>
            <w:r>
              <w:rPr>
                <w:rFonts w:cstheme="minorHAnsi"/>
                <w:sz w:val="24"/>
                <w:szCs w:val="24"/>
              </w:rPr>
              <w:t xml:space="preserve">n </w:t>
            </w:r>
            <w:r w:rsidRPr="00100C2E">
              <w:rPr>
                <w:rFonts w:cstheme="minorHAnsi"/>
                <w:sz w:val="24"/>
                <w:szCs w:val="24"/>
              </w:rPr>
              <w:t xml:space="preserve">and linkage to HIV care and treatment for those who </w:t>
            </w:r>
            <w:proofErr w:type="gramStart"/>
            <w:r w:rsidRPr="00100C2E">
              <w:rPr>
                <w:rFonts w:cstheme="minorHAnsi"/>
                <w:sz w:val="24"/>
                <w:szCs w:val="24"/>
              </w:rPr>
              <w:t>are newly diagnosed</w:t>
            </w:r>
            <w:proofErr w:type="gramEnd"/>
            <w:r w:rsidRPr="00100C2E">
              <w:rPr>
                <w:rFonts w:cstheme="minorHAnsi"/>
                <w:sz w:val="24"/>
                <w:szCs w:val="24"/>
              </w:rPr>
              <w:t xml:space="preserve"> with HIV or not currently in care</w:t>
            </w:r>
            <w:r>
              <w:rPr>
                <w:rFonts w:cstheme="minorHAnsi"/>
                <w:sz w:val="24"/>
                <w:szCs w:val="24"/>
              </w:rPr>
              <w:t>.</w:t>
            </w:r>
          </w:p>
        </w:tc>
      </w:tr>
      <w:tr w:rsidR="00A8033E" w:rsidTr="00DF74B8">
        <w:tc>
          <w:tcPr>
            <w:tcW w:w="265" w:type="dxa"/>
          </w:tcPr>
          <w:p w:rsidR="00A8033E" w:rsidRPr="00CC0DA3" w:rsidRDefault="00A8033E" w:rsidP="00DF74B8">
            <w:pPr>
              <w:contextualSpacing/>
              <w:rPr>
                <w:rFonts w:cstheme="minorHAnsi"/>
                <w:sz w:val="24"/>
                <w:szCs w:val="24"/>
              </w:rPr>
            </w:pPr>
          </w:p>
        </w:tc>
        <w:tc>
          <w:tcPr>
            <w:tcW w:w="9085" w:type="dxa"/>
          </w:tcPr>
          <w:p w:rsidR="00A8033E" w:rsidRDefault="00A8033E" w:rsidP="00DF74B8">
            <w:pPr>
              <w:contextualSpacing/>
              <w:rPr>
                <w:rFonts w:cstheme="minorHAnsi"/>
                <w:sz w:val="24"/>
                <w:szCs w:val="24"/>
              </w:rPr>
            </w:pPr>
            <w:r>
              <w:rPr>
                <w:rFonts w:cstheme="minorHAnsi"/>
                <w:sz w:val="24"/>
                <w:szCs w:val="24"/>
              </w:rPr>
              <w:t xml:space="preserve">Recommend HIV PEP for those who </w:t>
            </w:r>
            <w:proofErr w:type="gramStart"/>
            <w:r>
              <w:rPr>
                <w:rFonts w:cstheme="minorHAnsi"/>
                <w:sz w:val="24"/>
                <w:szCs w:val="24"/>
              </w:rPr>
              <w:t>have been exposed</w:t>
            </w:r>
            <w:proofErr w:type="gramEnd"/>
            <w:r>
              <w:rPr>
                <w:rFonts w:cstheme="minorHAnsi"/>
                <w:sz w:val="24"/>
                <w:szCs w:val="24"/>
              </w:rPr>
              <w:t xml:space="preserve"> or may</w:t>
            </w:r>
            <w:r w:rsidR="0018319C">
              <w:rPr>
                <w:rFonts w:cstheme="minorHAnsi"/>
                <w:sz w:val="24"/>
                <w:szCs w:val="24"/>
              </w:rPr>
              <w:t xml:space="preserve"> have</w:t>
            </w:r>
            <w:r>
              <w:rPr>
                <w:rFonts w:cstheme="minorHAnsi"/>
                <w:sz w:val="24"/>
                <w:szCs w:val="24"/>
              </w:rPr>
              <w:t xml:space="preserve"> been exposed to HIV within the past 72 hours.  Consider bridging from HIV PEP to HIV </w:t>
            </w:r>
            <w:proofErr w:type="spellStart"/>
            <w:r>
              <w:rPr>
                <w:rFonts w:cstheme="minorHAnsi"/>
                <w:sz w:val="24"/>
                <w:szCs w:val="24"/>
              </w:rPr>
              <w:t>PrEP</w:t>
            </w:r>
            <w:proofErr w:type="spellEnd"/>
            <w:r>
              <w:rPr>
                <w:rFonts w:cstheme="minorHAnsi"/>
                <w:sz w:val="24"/>
                <w:szCs w:val="24"/>
              </w:rPr>
              <w:t xml:space="preserve"> upon completion of HIV PEP course if ongoing risk for HIV exposure remains.</w:t>
            </w:r>
          </w:p>
        </w:tc>
      </w:tr>
    </w:tbl>
    <w:p w:rsidR="00A8033E" w:rsidRDefault="00A8033E" w:rsidP="00A8033E">
      <w:pPr>
        <w:spacing w:line="480" w:lineRule="auto"/>
        <w:rPr>
          <w:rFonts w:cstheme="minorHAnsi"/>
          <w:b/>
          <w:bCs/>
          <w:sz w:val="24"/>
          <w:szCs w:val="24"/>
        </w:rPr>
      </w:pPr>
    </w:p>
    <w:p w:rsidR="005B30D9" w:rsidRDefault="00F33104" w:rsidP="005B30D9">
      <w:pPr>
        <w:rPr>
          <w:rFonts w:cstheme="minorHAnsi"/>
          <w:b/>
          <w:bCs/>
          <w:sz w:val="24"/>
          <w:szCs w:val="24"/>
        </w:rPr>
      </w:pPr>
      <w:r>
        <w:rPr>
          <w:rFonts w:cstheme="minorHAnsi"/>
          <w:b/>
          <w:bCs/>
          <w:sz w:val="24"/>
          <w:szCs w:val="24"/>
        </w:rPr>
        <w:t>Harm Reduction Messaging</w:t>
      </w:r>
    </w:p>
    <w:p w:rsidR="00F33104" w:rsidRDefault="00F33104" w:rsidP="005B30D9">
      <w:pPr>
        <w:rPr>
          <w:rFonts w:cstheme="minorHAnsi"/>
          <w:b/>
          <w:bCs/>
          <w:sz w:val="24"/>
          <w:szCs w:val="24"/>
        </w:rPr>
      </w:pPr>
    </w:p>
    <w:p w:rsidR="005B30D9" w:rsidRPr="00F33104" w:rsidRDefault="005B30D9" w:rsidP="005B30D9">
      <w:pPr>
        <w:rPr>
          <w:b/>
          <w:sz w:val="24"/>
          <w:szCs w:val="24"/>
        </w:rPr>
      </w:pPr>
      <w:r w:rsidRPr="00F33104">
        <w:rPr>
          <w:b/>
          <w:sz w:val="24"/>
          <w:szCs w:val="24"/>
        </w:rPr>
        <w:t xml:space="preserve">Remember: </w:t>
      </w:r>
    </w:p>
    <w:p w:rsidR="005B30D9" w:rsidRPr="00E15F15" w:rsidRDefault="00E15F15" w:rsidP="00E15F15">
      <w:pPr>
        <w:pStyle w:val="ListParagraph"/>
        <w:numPr>
          <w:ilvl w:val="0"/>
          <w:numId w:val="3"/>
        </w:numPr>
        <w:rPr>
          <w:sz w:val="24"/>
          <w:szCs w:val="24"/>
        </w:rPr>
      </w:pPr>
      <w:r>
        <w:rPr>
          <w:sz w:val="24"/>
          <w:szCs w:val="24"/>
        </w:rPr>
        <w:t xml:space="preserve">While taking </w:t>
      </w:r>
      <w:proofErr w:type="spellStart"/>
      <w:r>
        <w:rPr>
          <w:sz w:val="24"/>
          <w:szCs w:val="24"/>
        </w:rPr>
        <w:t>DoxyPEP</w:t>
      </w:r>
      <w:proofErr w:type="spellEnd"/>
      <w:r>
        <w:rPr>
          <w:sz w:val="24"/>
          <w:szCs w:val="24"/>
        </w:rPr>
        <w:t xml:space="preserve">, </w:t>
      </w:r>
      <w:r w:rsidR="005B30D9" w:rsidRPr="00E15F15">
        <w:rPr>
          <w:sz w:val="24"/>
          <w:szCs w:val="24"/>
        </w:rPr>
        <w:t xml:space="preserve">continue to </w:t>
      </w:r>
      <w:proofErr w:type="gramStart"/>
      <w:r w:rsidR="005B30D9" w:rsidRPr="00E15F15">
        <w:rPr>
          <w:sz w:val="24"/>
          <w:szCs w:val="24"/>
        </w:rPr>
        <w:t>get</w:t>
      </w:r>
      <w:proofErr w:type="gramEnd"/>
      <w:r w:rsidR="005B30D9" w:rsidRPr="00E15F15">
        <w:rPr>
          <w:sz w:val="24"/>
          <w:szCs w:val="24"/>
        </w:rPr>
        <w:t xml:space="preserve"> tested for STIs every 3-6 months and whenever you have symptoms.</w:t>
      </w:r>
    </w:p>
    <w:p w:rsidR="005B30D9" w:rsidRPr="00E15F15" w:rsidRDefault="005B30D9" w:rsidP="00E15F15">
      <w:pPr>
        <w:pStyle w:val="ListParagraph"/>
        <w:numPr>
          <w:ilvl w:val="0"/>
          <w:numId w:val="3"/>
        </w:numPr>
        <w:rPr>
          <w:sz w:val="24"/>
          <w:szCs w:val="24"/>
        </w:rPr>
      </w:pPr>
      <w:r w:rsidRPr="00E15F15">
        <w:rPr>
          <w:sz w:val="24"/>
          <w:szCs w:val="24"/>
        </w:rPr>
        <w:t xml:space="preserve">If </w:t>
      </w:r>
      <w:r w:rsidR="005504E7">
        <w:rPr>
          <w:sz w:val="24"/>
          <w:szCs w:val="24"/>
        </w:rPr>
        <w:t xml:space="preserve">symptomatic, also </w:t>
      </w:r>
      <w:proofErr w:type="gramStart"/>
      <w:r w:rsidRPr="00E15F15">
        <w:rPr>
          <w:sz w:val="24"/>
          <w:szCs w:val="24"/>
        </w:rPr>
        <w:t>get</w:t>
      </w:r>
      <w:proofErr w:type="gramEnd"/>
      <w:r w:rsidRPr="00E15F15">
        <w:rPr>
          <w:sz w:val="24"/>
          <w:szCs w:val="24"/>
        </w:rPr>
        <w:t xml:space="preserve"> treated and abstain from sex for</w:t>
      </w:r>
      <w:r w:rsidR="005504E7">
        <w:rPr>
          <w:sz w:val="24"/>
          <w:szCs w:val="24"/>
        </w:rPr>
        <w:t xml:space="preserve"> at least</w:t>
      </w:r>
      <w:r w:rsidRPr="00E15F15">
        <w:rPr>
          <w:sz w:val="24"/>
          <w:szCs w:val="24"/>
        </w:rPr>
        <w:t xml:space="preserve"> seven days after treatment.  Notify your partners to </w:t>
      </w:r>
      <w:proofErr w:type="gramStart"/>
      <w:r w:rsidRPr="00E15F15">
        <w:rPr>
          <w:sz w:val="24"/>
          <w:szCs w:val="24"/>
        </w:rPr>
        <w:t>get</w:t>
      </w:r>
      <w:proofErr w:type="gramEnd"/>
      <w:r w:rsidRPr="00E15F15">
        <w:rPr>
          <w:sz w:val="24"/>
          <w:szCs w:val="24"/>
        </w:rPr>
        <w:t xml:space="preserve"> tested and treated as well.</w:t>
      </w:r>
    </w:p>
    <w:p w:rsidR="005B30D9" w:rsidRPr="00E15F15" w:rsidRDefault="005B30D9" w:rsidP="00E15F15">
      <w:pPr>
        <w:pStyle w:val="ListParagraph"/>
        <w:numPr>
          <w:ilvl w:val="0"/>
          <w:numId w:val="3"/>
        </w:numPr>
        <w:rPr>
          <w:sz w:val="24"/>
          <w:szCs w:val="24"/>
        </w:rPr>
      </w:pPr>
      <w:proofErr w:type="spellStart"/>
      <w:r w:rsidRPr="00E15F15">
        <w:rPr>
          <w:sz w:val="24"/>
          <w:szCs w:val="24"/>
        </w:rPr>
        <w:t>DoxyPEP</w:t>
      </w:r>
      <w:proofErr w:type="spellEnd"/>
      <w:r w:rsidRPr="00E15F15">
        <w:rPr>
          <w:sz w:val="24"/>
          <w:szCs w:val="24"/>
        </w:rPr>
        <w:t xml:space="preserve"> </w:t>
      </w:r>
      <w:proofErr w:type="gramStart"/>
      <w:r w:rsidRPr="00E15F15">
        <w:rPr>
          <w:sz w:val="24"/>
          <w:szCs w:val="24"/>
        </w:rPr>
        <w:t>doesn’t</w:t>
      </w:r>
      <w:proofErr w:type="gramEnd"/>
      <w:r w:rsidRPr="00E15F15">
        <w:rPr>
          <w:sz w:val="24"/>
          <w:szCs w:val="24"/>
        </w:rPr>
        <w:t xml:space="preserve"> protect against MPOX (</w:t>
      </w:r>
      <w:proofErr w:type="spellStart"/>
      <w:r w:rsidRPr="00E15F15">
        <w:rPr>
          <w:sz w:val="24"/>
          <w:szCs w:val="24"/>
        </w:rPr>
        <w:t>monkeypox</w:t>
      </w:r>
      <w:proofErr w:type="spellEnd"/>
      <w:r w:rsidRPr="00E15F15">
        <w:rPr>
          <w:sz w:val="24"/>
          <w:szCs w:val="24"/>
        </w:rPr>
        <w:t xml:space="preserve">), HIV, or other viral infections. </w:t>
      </w:r>
      <w:r w:rsidRPr="00F33104">
        <w:sym w:font="Symbol" w:char="F0EA"/>
      </w:r>
      <w:r w:rsidRPr="00E15F15">
        <w:rPr>
          <w:sz w:val="24"/>
          <w:szCs w:val="24"/>
        </w:rPr>
        <w:t xml:space="preserve"> </w:t>
      </w:r>
    </w:p>
    <w:p w:rsidR="005B30D9" w:rsidRPr="00E15F15" w:rsidRDefault="005B30D9" w:rsidP="00E15F15">
      <w:pPr>
        <w:pStyle w:val="ListParagraph"/>
        <w:numPr>
          <w:ilvl w:val="0"/>
          <w:numId w:val="3"/>
        </w:numPr>
        <w:rPr>
          <w:sz w:val="24"/>
          <w:szCs w:val="24"/>
        </w:rPr>
      </w:pPr>
      <w:r w:rsidRPr="00E15F15">
        <w:rPr>
          <w:sz w:val="24"/>
          <w:szCs w:val="24"/>
        </w:rPr>
        <w:t>Talk to your health care provider about</w:t>
      </w:r>
      <w:r w:rsidR="00FA54FE">
        <w:rPr>
          <w:sz w:val="24"/>
          <w:szCs w:val="24"/>
        </w:rPr>
        <w:t xml:space="preserve"> HIV</w:t>
      </w:r>
      <w:r w:rsidRPr="00E15F15">
        <w:rPr>
          <w:sz w:val="24"/>
          <w:szCs w:val="24"/>
        </w:rPr>
        <w:t xml:space="preserve"> pre-exposure prophylaxis (</w:t>
      </w:r>
      <w:r w:rsidR="00FA54FE">
        <w:rPr>
          <w:sz w:val="24"/>
          <w:szCs w:val="24"/>
        </w:rPr>
        <w:t xml:space="preserve">HIV </w:t>
      </w:r>
      <w:proofErr w:type="spellStart"/>
      <w:r w:rsidRPr="00E15F15">
        <w:rPr>
          <w:sz w:val="24"/>
          <w:szCs w:val="24"/>
        </w:rPr>
        <w:t>PrEP</w:t>
      </w:r>
      <w:proofErr w:type="spellEnd"/>
      <w:r w:rsidRPr="00E15F15">
        <w:rPr>
          <w:sz w:val="24"/>
          <w:szCs w:val="24"/>
        </w:rPr>
        <w:t xml:space="preserve">) and </w:t>
      </w:r>
      <w:r w:rsidR="00FA54FE">
        <w:rPr>
          <w:sz w:val="24"/>
          <w:szCs w:val="24"/>
        </w:rPr>
        <w:t xml:space="preserve">HIV </w:t>
      </w:r>
      <w:r w:rsidRPr="00E15F15">
        <w:rPr>
          <w:sz w:val="24"/>
          <w:szCs w:val="24"/>
        </w:rPr>
        <w:t>post-exposure prophylaxis (</w:t>
      </w:r>
      <w:r w:rsidR="00FA54FE">
        <w:rPr>
          <w:sz w:val="24"/>
          <w:szCs w:val="24"/>
        </w:rPr>
        <w:t xml:space="preserve">HIV </w:t>
      </w:r>
      <w:r w:rsidRPr="00E15F15">
        <w:rPr>
          <w:sz w:val="24"/>
          <w:szCs w:val="24"/>
        </w:rPr>
        <w:t xml:space="preserve">PEP) for HIV prevention. </w:t>
      </w:r>
      <w:r w:rsidRPr="00F33104">
        <w:sym w:font="Symbol" w:char="F0EA"/>
      </w:r>
      <w:r w:rsidRPr="00E15F15">
        <w:rPr>
          <w:sz w:val="24"/>
          <w:szCs w:val="24"/>
        </w:rPr>
        <w:t xml:space="preserve"> </w:t>
      </w:r>
    </w:p>
    <w:p w:rsidR="005B30D9" w:rsidRPr="00E15F15" w:rsidRDefault="005B30D9" w:rsidP="00E15F15">
      <w:pPr>
        <w:pStyle w:val="ListParagraph"/>
        <w:numPr>
          <w:ilvl w:val="0"/>
          <w:numId w:val="3"/>
        </w:numPr>
        <w:rPr>
          <w:sz w:val="24"/>
          <w:szCs w:val="24"/>
        </w:rPr>
      </w:pPr>
      <w:r w:rsidRPr="00E15F15">
        <w:rPr>
          <w:sz w:val="24"/>
          <w:szCs w:val="24"/>
        </w:rPr>
        <w:t>If you are living with HIV, continue to take your medications and see your health care provider regularly.</w:t>
      </w:r>
    </w:p>
    <w:p w:rsidR="00E15F15" w:rsidRDefault="00E15F15" w:rsidP="00E15F15">
      <w:pPr>
        <w:pStyle w:val="ListParagraph"/>
        <w:numPr>
          <w:ilvl w:val="0"/>
          <w:numId w:val="3"/>
        </w:numPr>
        <w:rPr>
          <w:rFonts w:cstheme="minorHAnsi"/>
          <w:bCs/>
          <w:sz w:val="24"/>
          <w:szCs w:val="24"/>
        </w:rPr>
      </w:pPr>
      <w:r w:rsidRPr="00E15F15">
        <w:rPr>
          <w:rFonts w:cstheme="minorHAnsi"/>
          <w:bCs/>
          <w:sz w:val="24"/>
          <w:szCs w:val="24"/>
        </w:rPr>
        <w:t xml:space="preserve">Although </w:t>
      </w:r>
      <w:proofErr w:type="spellStart"/>
      <w:r w:rsidRPr="00E15F15">
        <w:rPr>
          <w:rFonts w:cstheme="minorHAnsi"/>
          <w:bCs/>
          <w:sz w:val="24"/>
          <w:szCs w:val="24"/>
        </w:rPr>
        <w:t>DoxyPEP</w:t>
      </w:r>
      <w:proofErr w:type="spellEnd"/>
      <w:r w:rsidRPr="00E15F15">
        <w:rPr>
          <w:rFonts w:cstheme="minorHAnsi"/>
          <w:bCs/>
          <w:sz w:val="24"/>
          <w:szCs w:val="24"/>
        </w:rPr>
        <w:t xml:space="preserve"> is highly effective, it </w:t>
      </w:r>
      <w:proofErr w:type="gramStart"/>
      <w:r w:rsidRPr="00E15F15">
        <w:rPr>
          <w:rFonts w:cstheme="minorHAnsi"/>
          <w:bCs/>
          <w:sz w:val="24"/>
          <w:szCs w:val="24"/>
        </w:rPr>
        <w:t>doesn’t</w:t>
      </w:r>
      <w:proofErr w:type="gramEnd"/>
      <w:r w:rsidRPr="00E15F15">
        <w:rPr>
          <w:rFonts w:cstheme="minorHAnsi"/>
          <w:bCs/>
          <w:sz w:val="24"/>
          <w:szCs w:val="24"/>
        </w:rPr>
        <w:t xml:space="preserve"> provide 100% protection against STIs. </w:t>
      </w:r>
    </w:p>
    <w:p w:rsidR="007F6F63" w:rsidRDefault="00E15F15" w:rsidP="00E15F15">
      <w:pPr>
        <w:pStyle w:val="ListParagraph"/>
        <w:numPr>
          <w:ilvl w:val="0"/>
          <w:numId w:val="3"/>
        </w:numPr>
        <w:rPr>
          <w:rFonts w:cstheme="minorHAnsi"/>
          <w:bCs/>
          <w:sz w:val="24"/>
          <w:szCs w:val="24"/>
        </w:rPr>
      </w:pPr>
      <w:r w:rsidRPr="00E15F15">
        <w:rPr>
          <w:rFonts w:cstheme="minorHAnsi"/>
          <w:bCs/>
          <w:sz w:val="24"/>
          <w:szCs w:val="24"/>
        </w:rPr>
        <w:t>Continue to consider condom use and other protective barriers as part of a comprehensive sexual health plan.</w:t>
      </w:r>
    </w:p>
    <w:p w:rsidR="00E30AFE" w:rsidRPr="00E15F15" w:rsidRDefault="007F6F63" w:rsidP="00E15F15">
      <w:pPr>
        <w:pStyle w:val="ListParagraph"/>
        <w:numPr>
          <w:ilvl w:val="0"/>
          <w:numId w:val="3"/>
        </w:numPr>
        <w:rPr>
          <w:rFonts w:cstheme="minorHAnsi"/>
          <w:bCs/>
          <w:sz w:val="24"/>
          <w:szCs w:val="24"/>
        </w:rPr>
      </w:pPr>
      <w:r>
        <w:rPr>
          <w:rFonts w:cstheme="minorHAnsi"/>
          <w:bCs/>
          <w:sz w:val="24"/>
          <w:szCs w:val="24"/>
        </w:rPr>
        <w:t>Individuals who have conc</w:t>
      </w:r>
      <w:r w:rsidR="00FA54FE">
        <w:rPr>
          <w:rFonts w:cstheme="minorHAnsi"/>
          <w:bCs/>
          <w:sz w:val="24"/>
          <w:szCs w:val="24"/>
        </w:rPr>
        <w:t xml:space="preserve">urrent </w:t>
      </w:r>
      <w:r>
        <w:rPr>
          <w:rFonts w:cstheme="minorHAnsi"/>
          <w:bCs/>
          <w:sz w:val="24"/>
          <w:szCs w:val="24"/>
        </w:rPr>
        <w:t xml:space="preserve">substance use disorder </w:t>
      </w:r>
      <w:proofErr w:type="gramStart"/>
      <w:r>
        <w:rPr>
          <w:rFonts w:cstheme="minorHAnsi"/>
          <w:bCs/>
          <w:sz w:val="24"/>
          <w:szCs w:val="24"/>
        </w:rPr>
        <w:t>should be referred</w:t>
      </w:r>
      <w:proofErr w:type="gramEnd"/>
      <w:r>
        <w:rPr>
          <w:rFonts w:cstheme="minorHAnsi"/>
          <w:bCs/>
          <w:sz w:val="24"/>
          <w:szCs w:val="24"/>
        </w:rPr>
        <w:t xml:space="preserve"> to harm reduction services including syringe service programs if applicable, and medication assisted treatment programs.</w:t>
      </w:r>
      <w:r w:rsidR="00E15F15" w:rsidRPr="00E15F15">
        <w:rPr>
          <w:rFonts w:cstheme="minorHAnsi"/>
          <w:bCs/>
          <w:sz w:val="24"/>
          <w:szCs w:val="24"/>
        </w:rPr>
        <w:t xml:space="preserve"> </w:t>
      </w:r>
    </w:p>
    <w:p w:rsidR="00FA5FA0" w:rsidRDefault="00FA5FA0" w:rsidP="00A8033E">
      <w:pPr>
        <w:spacing w:line="480" w:lineRule="auto"/>
        <w:rPr>
          <w:rFonts w:cstheme="minorHAnsi"/>
          <w:b/>
          <w:bCs/>
          <w:sz w:val="24"/>
          <w:szCs w:val="24"/>
        </w:rPr>
      </w:pPr>
    </w:p>
    <w:p w:rsidR="00A8033E" w:rsidRDefault="00A8033E" w:rsidP="00FA5FA0">
      <w:pPr>
        <w:rPr>
          <w:rFonts w:cstheme="minorHAnsi"/>
          <w:b/>
          <w:bCs/>
          <w:sz w:val="24"/>
          <w:szCs w:val="24"/>
        </w:rPr>
      </w:pPr>
      <w:r>
        <w:rPr>
          <w:rFonts w:cstheme="minorHAnsi"/>
          <w:b/>
          <w:bCs/>
          <w:sz w:val="24"/>
          <w:szCs w:val="24"/>
        </w:rPr>
        <w:t>References</w:t>
      </w:r>
    </w:p>
    <w:p w:rsidR="00A8033E" w:rsidRPr="00BF4CCC" w:rsidRDefault="00A8033E" w:rsidP="00FA5FA0">
      <w:pPr>
        <w:pStyle w:val="Bibliography"/>
        <w:rPr>
          <w:rFonts w:ascii="Calibri" w:hAnsi="Calibri" w:cs="Calibri"/>
          <w:sz w:val="24"/>
          <w:szCs w:val="24"/>
        </w:rPr>
      </w:pPr>
      <w:r w:rsidRPr="00BF4CCC">
        <w:rPr>
          <w:rFonts w:cstheme="minorHAnsi"/>
          <w:sz w:val="24"/>
          <w:szCs w:val="24"/>
        </w:rPr>
        <w:fldChar w:fldCharType="begin"/>
      </w:r>
      <w:r w:rsidRPr="00BF4CCC">
        <w:rPr>
          <w:rFonts w:cstheme="minorHAnsi"/>
          <w:sz w:val="24"/>
          <w:szCs w:val="24"/>
        </w:rPr>
        <w:instrText xml:space="preserve"> ADDIN ZOTERO_BIBL {"uncited":[],"omitted":[],"custom":[]} CSL_BIBLIOGRAPHY </w:instrText>
      </w:r>
      <w:r w:rsidRPr="00BF4CCC">
        <w:rPr>
          <w:rFonts w:cstheme="minorHAnsi"/>
          <w:sz w:val="24"/>
          <w:szCs w:val="24"/>
        </w:rPr>
        <w:fldChar w:fldCharType="separate"/>
      </w:r>
      <w:r w:rsidRPr="00BF4CCC">
        <w:rPr>
          <w:rFonts w:ascii="Calibri" w:hAnsi="Calibri" w:cs="Calibri"/>
          <w:sz w:val="24"/>
          <w:szCs w:val="24"/>
        </w:rPr>
        <w:t xml:space="preserve"> </w:t>
      </w:r>
    </w:p>
    <w:p w:rsidR="00A8033E" w:rsidRPr="00BF4CCC" w:rsidRDefault="00A8033E" w:rsidP="00FA5FA0">
      <w:pPr>
        <w:pStyle w:val="Bibliography"/>
        <w:spacing w:after="240"/>
        <w:rPr>
          <w:rFonts w:ascii="Calibri" w:hAnsi="Calibri" w:cs="Calibri"/>
          <w:sz w:val="24"/>
          <w:szCs w:val="24"/>
        </w:rPr>
      </w:pPr>
      <w:r w:rsidRPr="00BF4CCC">
        <w:rPr>
          <w:rFonts w:ascii="Calibri" w:hAnsi="Calibri" w:cs="Calibri"/>
          <w:sz w:val="24"/>
          <w:szCs w:val="24"/>
        </w:rPr>
        <w:t xml:space="preserve">1. Workowski K, Bachman L, Chan P, Johnston C, Muzny C, Park I, et al. Sexually Transmitted Infections Treatment Guidelines, 2021. MMWR. 2021;70:1–187.  </w:t>
      </w:r>
    </w:p>
    <w:p w:rsidR="00A8033E" w:rsidRPr="00BF4CCC" w:rsidRDefault="00A8033E" w:rsidP="00FA5FA0">
      <w:pPr>
        <w:pStyle w:val="Bibliography"/>
        <w:spacing w:after="240"/>
        <w:rPr>
          <w:rFonts w:ascii="Calibri" w:hAnsi="Calibri" w:cs="Calibri"/>
          <w:sz w:val="24"/>
          <w:szCs w:val="24"/>
        </w:rPr>
      </w:pPr>
      <w:r w:rsidRPr="00BF4CCC">
        <w:rPr>
          <w:rFonts w:ascii="Calibri" w:hAnsi="Calibri" w:cs="Calibri"/>
          <w:sz w:val="24"/>
          <w:szCs w:val="24"/>
        </w:rPr>
        <w:t xml:space="preserve">2. Molina JM, Charreau I, Chidiac C, Pialoux G, Cua E, Delaugerre C, et al. Post-exposure prophylaxis with doxycycline to prevent sexually transmitted infections in men who have sex with men: an open-label randomised substudy of the ANRS IPERGAY trial. Lancet Infect Dis. 2018 Mar;18(3):308–17. </w:t>
      </w:r>
    </w:p>
    <w:p w:rsidR="00A8033E" w:rsidRPr="00BF4CCC" w:rsidRDefault="00A8033E" w:rsidP="00FA5FA0">
      <w:pPr>
        <w:pStyle w:val="Bibliography"/>
        <w:spacing w:after="240"/>
        <w:rPr>
          <w:rFonts w:ascii="Calibri" w:hAnsi="Calibri" w:cs="Calibri"/>
          <w:sz w:val="24"/>
          <w:szCs w:val="24"/>
        </w:rPr>
      </w:pPr>
      <w:r w:rsidRPr="00BF4CCC">
        <w:rPr>
          <w:rFonts w:ascii="Calibri" w:hAnsi="Calibri" w:cs="Calibri"/>
          <w:sz w:val="24"/>
          <w:szCs w:val="24"/>
        </w:rPr>
        <w:lastRenderedPageBreak/>
        <w:t xml:space="preserve">3. Luetkemeyer AF, Donnell D, Dombrowski JC, Cohen S, Grabow C, Brown CE, et al. Postexposure Doxycycline to Prevent Bacterial Sexually Transmitted Infections. N Engl J Med. 2023 Apr 6;388(14):1296–306. </w:t>
      </w:r>
    </w:p>
    <w:p w:rsidR="00A8033E" w:rsidRPr="00BF4CCC" w:rsidRDefault="00A8033E" w:rsidP="00FA5FA0">
      <w:pPr>
        <w:pStyle w:val="Bibliography"/>
        <w:spacing w:after="240"/>
        <w:rPr>
          <w:rFonts w:ascii="Calibri" w:hAnsi="Calibri" w:cs="Calibri"/>
          <w:sz w:val="24"/>
          <w:szCs w:val="24"/>
        </w:rPr>
      </w:pPr>
      <w:r w:rsidRPr="00BF4CCC">
        <w:rPr>
          <w:rFonts w:ascii="Calibri" w:hAnsi="Calibri" w:cs="Calibri"/>
          <w:sz w:val="24"/>
          <w:szCs w:val="24"/>
        </w:rPr>
        <w:t>4. Jean-Michel Molina, Beatrice Bercot, Lambert Assoumou, Algarte-Genin Michele, Emma Rubenstein, Gilles Pialoux, et al. ANRS 174 DOXYVAC: An Open-Label Randomized Trial to Prevent STIs in MSM on PrEP. CROI [Internet]. 2023 Feb 19;Seattle, Washington. Available from: https://www.croiconference.org/abstract/anrs-174-doxyvac-an-open-label-randomized-trial-to-prevent-stis-in-msm-on-prep/</w:t>
      </w:r>
    </w:p>
    <w:p w:rsidR="00A8033E" w:rsidRPr="00BF4CCC" w:rsidRDefault="00A8033E" w:rsidP="00FA5FA0">
      <w:pPr>
        <w:pStyle w:val="Bibliography"/>
        <w:spacing w:after="240"/>
        <w:rPr>
          <w:rFonts w:ascii="Calibri" w:hAnsi="Calibri" w:cs="Calibri"/>
          <w:sz w:val="24"/>
          <w:szCs w:val="24"/>
        </w:rPr>
      </w:pPr>
      <w:r w:rsidRPr="00BF4CCC">
        <w:rPr>
          <w:rFonts w:ascii="Calibri" w:hAnsi="Calibri" w:cs="Calibri"/>
          <w:sz w:val="24"/>
          <w:szCs w:val="24"/>
        </w:rPr>
        <w:t xml:space="preserve">5. Grant JS, Stafylis C, Celum C, Grennan T, Haire B, Kaldor J, et al. Doxycycline Prophylaxis for Bacterial Sexually Transmitted Infections. Clin Infect Dis. 2020 Mar 3;70(6):1247–53. </w:t>
      </w:r>
    </w:p>
    <w:p w:rsidR="00A8033E" w:rsidRPr="00BF4CCC" w:rsidRDefault="00A8033E" w:rsidP="00FA5FA0">
      <w:pPr>
        <w:pStyle w:val="Bibliography"/>
        <w:spacing w:after="240"/>
        <w:rPr>
          <w:rFonts w:ascii="Calibri" w:hAnsi="Calibri" w:cs="Calibri"/>
          <w:sz w:val="24"/>
          <w:szCs w:val="24"/>
        </w:rPr>
      </w:pPr>
      <w:r w:rsidRPr="00BF4CCC">
        <w:rPr>
          <w:rFonts w:ascii="Calibri" w:hAnsi="Calibri" w:cs="Calibri"/>
          <w:sz w:val="24"/>
          <w:szCs w:val="24"/>
        </w:rPr>
        <w:t xml:space="preserve">6. Zeggagh J, Bauer R, Delaugerre C, Carette D, Fressard L, Charreau I, et al. Incidence and risk factors for recurrent sexually transmitted infections among MSM on HIV pre-exposure prophylaxis. AIDS. 2022 Jul 1;36(8):1129–34. </w:t>
      </w:r>
    </w:p>
    <w:p w:rsidR="00A8033E" w:rsidRPr="00BF4CCC" w:rsidRDefault="00A8033E" w:rsidP="00FA5FA0">
      <w:pPr>
        <w:pStyle w:val="Bibliography"/>
        <w:spacing w:after="240"/>
        <w:rPr>
          <w:rFonts w:ascii="Calibri" w:hAnsi="Calibri" w:cs="Calibri"/>
          <w:sz w:val="24"/>
          <w:szCs w:val="24"/>
        </w:rPr>
      </w:pPr>
      <w:r w:rsidRPr="00BF4CCC">
        <w:rPr>
          <w:rFonts w:ascii="Calibri" w:hAnsi="Calibri" w:cs="Calibri"/>
          <w:sz w:val="24"/>
          <w:szCs w:val="24"/>
        </w:rPr>
        <w:t xml:space="preserve">7. Jenell Stewart, Kevin Oware, Deborah Donnell, Lauren R.Violette, Josephine Odoyo, Caitlin W.Scoville, et al. Doxycycline Post-Exposure Prophylaxis for Prevention of STIs among Cisgender Women. CROI. 2023 Feb 19;Seattle, Washington. </w:t>
      </w:r>
    </w:p>
    <w:p w:rsidR="00BF4CCC" w:rsidRPr="00BF4CCC" w:rsidRDefault="00BF4CCC" w:rsidP="00FA5FA0">
      <w:pPr>
        <w:rPr>
          <w:sz w:val="24"/>
          <w:szCs w:val="24"/>
        </w:rPr>
      </w:pPr>
      <w:r w:rsidRPr="00BF4CCC">
        <w:rPr>
          <w:sz w:val="24"/>
          <w:szCs w:val="24"/>
        </w:rPr>
        <w:t xml:space="preserve">8. </w:t>
      </w:r>
      <w:hyperlink r:id="rId9" w:history="1">
        <w:r w:rsidRPr="00BF4CCC">
          <w:rPr>
            <w:rStyle w:val="Hyperlink"/>
            <w:rFonts w:eastAsia="Times New Roman"/>
            <w:color w:val="auto"/>
            <w:sz w:val="24"/>
            <w:szCs w:val="24"/>
            <w:u w:val="none"/>
          </w:rPr>
          <w:t>Primary Prevention Methods (cdc.gov)</w:t>
        </w:r>
      </w:hyperlink>
      <w:r w:rsidR="00F33104">
        <w:rPr>
          <w:rFonts w:eastAsia="Times New Roman"/>
          <w:sz w:val="24"/>
          <w:szCs w:val="24"/>
        </w:rPr>
        <w:t xml:space="preserve">  </w:t>
      </w:r>
    </w:p>
    <w:p w:rsidR="00BF4CCC" w:rsidRPr="00BF4CCC" w:rsidRDefault="00A8033E" w:rsidP="00FA5FA0">
      <w:pPr>
        <w:rPr>
          <w:rFonts w:cstheme="minorHAnsi"/>
          <w:sz w:val="24"/>
          <w:szCs w:val="24"/>
        </w:rPr>
      </w:pPr>
      <w:r w:rsidRPr="00BF4CCC">
        <w:rPr>
          <w:rFonts w:cstheme="minorHAnsi"/>
          <w:sz w:val="24"/>
          <w:szCs w:val="24"/>
        </w:rPr>
        <w:fldChar w:fldCharType="end"/>
      </w:r>
    </w:p>
    <w:p w:rsidR="00BF4CCC" w:rsidRPr="00BF4CCC" w:rsidRDefault="00BF4CCC" w:rsidP="00BF4CCC">
      <w:pPr>
        <w:rPr>
          <w:rFonts w:eastAsia="Times New Roman"/>
          <w:sz w:val="24"/>
          <w:szCs w:val="24"/>
        </w:rPr>
      </w:pPr>
      <w:r w:rsidRPr="00BF4CCC">
        <w:rPr>
          <w:rFonts w:cstheme="minorHAnsi"/>
          <w:sz w:val="24"/>
          <w:szCs w:val="24"/>
        </w:rPr>
        <w:t xml:space="preserve">9. </w:t>
      </w:r>
      <w:hyperlink r:id="rId10" w:history="1">
        <w:r w:rsidRPr="00F33104">
          <w:rPr>
            <w:rStyle w:val="Hyperlink"/>
            <w:rFonts w:eastAsia="Times New Roman"/>
            <w:sz w:val="24"/>
            <w:szCs w:val="24"/>
          </w:rPr>
          <w:t>CDC Response to Doxy-PEP data presented at 2022 International AIDS Conference | Newsroom | NCHHSTP | CDC</w:t>
        </w:r>
      </w:hyperlink>
      <w:r w:rsidR="00F33104">
        <w:rPr>
          <w:rFonts w:eastAsia="Times New Roman"/>
          <w:sz w:val="24"/>
          <w:szCs w:val="24"/>
        </w:rPr>
        <w:t xml:space="preserve"> </w:t>
      </w:r>
    </w:p>
    <w:p w:rsidR="00BF4CCC" w:rsidRPr="00BF4CCC" w:rsidRDefault="00BF4CCC" w:rsidP="00BF4CCC">
      <w:pPr>
        <w:rPr>
          <w:rFonts w:eastAsia="Times New Roman"/>
          <w:sz w:val="24"/>
          <w:szCs w:val="24"/>
        </w:rPr>
      </w:pPr>
      <w:r w:rsidRPr="00BF4CCC">
        <w:rPr>
          <w:rFonts w:eastAsia="Times New Roman"/>
          <w:sz w:val="24"/>
          <w:szCs w:val="24"/>
        </w:rPr>
        <w:t xml:space="preserve"> </w:t>
      </w:r>
    </w:p>
    <w:p w:rsidR="00A8033E" w:rsidRDefault="00A8033E" w:rsidP="00A8033E">
      <w:pPr>
        <w:spacing w:line="480" w:lineRule="auto"/>
        <w:rPr>
          <w:rFonts w:cstheme="minorHAnsi"/>
          <w:b/>
          <w:bCs/>
          <w:sz w:val="24"/>
          <w:szCs w:val="24"/>
        </w:rPr>
      </w:pPr>
    </w:p>
    <w:p w:rsidR="00A8033E" w:rsidRDefault="00A8033E" w:rsidP="00A8033E">
      <w:pPr>
        <w:spacing w:line="480" w:lineRule="auto"/>
        <w:rPr>
          <w:rFonts w:cstheme="minorHAnsi"/>
          <w:b/>
          <w:bCs/>
          <w:sz w:val="24"/>
          <w:szCs w:val="24"/>
        </w:rPr>
      </w:pPr>
    </w:p>
    <w:p w:rsidR="00A8033E" w:rsidRDefault="00A8033E" w:rsidP="00A8033E">
      <w:pPr>
        <w:spacing w:line="480" w:lineRule="auto"/>
        <w:rPr>
          <w:rFonts w:cstheme="minorHAnsi"/>
          <w:b/>
          <w:bCs/>
          <w:sz w:val="24"/>
          <w:szCs w:val="24"/>
        </w:rPr>
      </w:pPr>
    </w:p>
    <w:p w:rsidR="00615B99" w:rsidRDefault="00615B99"/>
    <w:sectPr w:rsidR="00615B99">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548F" w:rsidRDefault="0083548F" w:rsidP="004D3E0C">
      <w:r>
        <w:separator/>
      </w:r>
    </w:p>
  </w:endnote>
  <w:endnote w:type="continuationSeparator" w:id="0">
    <w:p w:rsidR="0083548F" w:rsidRDefault="0083548F" w:rsidP="004D3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548F" w:rsidRDefault="0083548F" w:rsidP="004D3E0C">
      <w:r>
        <w:separator/>
      </w:r>
    </w:p>
  </w:footnote>
  <w:footnote w:type="continuationSeparator" w:id="0">
    <w:p w:rsidR="0083548F" w:rsidRDefault="0083548F" w:rsidP="004D3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E0C" w:rsidRDefault="004D3E0C" w:rsidP="004D3E0C">
    <w:pPr>
      <w:pStyle w:val="Header"/>
      <w:jc w:val="right"/>
    </w:pPr>
    <w:r>
      <w:t>Last updated: 8/25/23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55849"/>
    <w:multiLevelType w:val="hybridMultilevel"/>
    <w:tmpl w:val="00504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01C43"/>
    <w:multiLevelType w:val="hybridMultilevel"/>
    <w:tmpl w:val="FE361D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OzMDc1NjE1MzczN7BU0lEKTi0uzszPAykwqwUAPrpZHywAAAA="/>
  </w:docVars>
  <w:rsids>
    <w:rsidRoot w:val="00A8033E"/>
    <w:rsid w:val="0009211D"/>
    <w:rsid w:val="000E0029"/>
    <w:rsid w:val="0018319C"/>
    <w:rsid w:val="0026430F"/>
    <w:rsid w:val="00373D13"/>
    <w:rsid w:val="004952D1"/>
    <w:rsid w:val="004C54CA"/>
    <w:rsid w:val="004D15FC"/>
    <w:rsid w:val="004D3E0C"/>
    <w:rsid w:val="005504E7"/>
    <w:rsid w:val="005555D4"/>
    <w:rsid w:val="005B30D9"/>
    <w:rsid w:val="00615B99"/>
    <w:rsid w:val="00624535"/>
    <w:rsid w:val="0073258B"/>
    <w:rsid w:val="007F6F63"/>
    <w:rsid w:val="0083548F"/>
    <w:rsid w:val="00864CA1"/>
    <w:rsid w:val="00883407"/>
    <w:rsid w:val="008B0F25"/>
    <w:rsid w:val="009113D0"/>
    <w:rsid w:val="00A8033E"/>
    <w:rsid w:val="00AC4427"/>
    <w:rsid w:val="00BA46B8"/>
    <w:rsid w:val="00BF4CCC"/>
    <w:rsid w:val="00C364E2"/>
    <w:rsid w:val="00D07AF6"/>
    <w:rsid w:val="00E15F15"/>
    <w:rsid w:val="00E30AFE"/>
    <w:rsid w:val="00F33104"/>
    <w:rsid w:val="00F4397D"/>
    <w:rsid w:val="00FA54FE"/>
    <w:rsid w:val="00FA5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260AF"/>
  <w15:chartTrackingRefBased/>
  <w15:docId w15:val="{E65B33A1-9F9A-4831-BB92-E826DA10E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33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033E"/>
    <w:rPr>
      <w:color w:val="0000FF"/>
      <w:u w:val="single"/>
    </w:rPr>
  </w:style>
  <w:style w:type="table" w:styleId="TableGrid">
    <w:name w:val="Table Grid"/>
    <w:basedOn w:val="TableNormal"/>
    <w:uiPriority w:val="39"/>
    <w:rsid w:val="00A80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A8033E"/>
  </w:style>
  <w:style w:type="paragraph" w:styleId="Header">
    <w:name w:val="header"/>
    <w:basedOn w:val="Normal"/>
    <w:link w:val="HeaderChar"/>
    <w:uiPriority w:val="99"/>
    <w:unhideWhenUsed/>
    <w:rsid w:val="004D3E0C"/>
    <w:pPr>
      <w:tabs>
        <w:tab w:val="center" w:pos="4680"/>
        <w:tab w:val="right" w:pos="9360"/>
      </w:tabs>
    </w:pPr>
  </w:style>
  <w:style w:type="character" w:customStyle="1" w:styleId="HeaderChar">
    <w:name w:val="Header Char"/>
    <w:basedOn w:val="DefaultParagraphFont"/>
    <w:link w:val="Header"/>
    <w:uiPriority w:val="99"/>
    <w:rsid w:val="004D3E0C"/>
  </w:style>
  <w:style w:type="paragraph" w:styleId="Footer">
    <w:name w:val="footer"/>
    <w:basedOn w:val="Normal"/>
    <w:link w:val="FooterChar"/>
    <w:uiPriority w:val="99"/>
    <w:unhideWhenUsed/>
    <w:rsid w:val="004D3E0C"/>
    <w:pPr>
      <w:tabs>
        <w:tab w:val="center" w:pos="4680"/>
        <w:tab w:val="right" w:pos="9360"/>
      </w:tabs>
    </w:pPr>
  </w:style>
  <w:style w:type="character" w:customStyle="1" w:styleId="FooterChar">
    <w:name w:val="Footer Char"/>
    <w:basedOn w:val="DefaultParagraphFont"/>
    <w:link w:val="Footer"/>
    <w:uiPriority w:val="99"/>
    <w:rsid w:val="004D3E0C"/>
  </w:style>
  <w:style w:type="paragraph" w:styleId="CommentText">
    <w:name w:val="annotation text"/>
    <w:basedOn w:val="Normal"/>
    <w:link w:val="CommentTextChar"/>
    <w:uiPriority w:val="99"/>
    <w:unhideWhenUsed/>
    <w:rsid w:val="004D3E0C"/>
    <w:rPr>
      <w:sz w:val="20"/>
      <w:szCs w:val="20"/>
    </w:rPr>
  </w:style>
  <w:style w:type="character" w:customStyle="1" w:styleId="CommentTextChar">
    <w:name w:val="Comment Text Char"/>
    <w:basedOn w:val="DefaultParagraphFont"/>
    <w:link w:val="CommentText"/>
    <w:uiPriority w:val="99"/>
    <w:rsid w:val="004D3E0C"/>
    <w:rPr>
      <w:sz w:val="20"/>
      <w:szCs w:val="20"/>
    </w:rPr>
  </w:style>
  <w:style w:type="paragraph" w:styleId="ListParagraph">
    <w:name w:val="List Paragraph"/>
    <w:basedOn w:val="Normal"/>
    <w:uiPriority w:val="34"/>
    <w:qFormat/>
    <w:rsid w:val="00E15F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00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hiv/basics/prep/starting-stopping-prep.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dc.gov/hiv/pdf/risk/prep/cdc-hiv-prep-guidelines-2021.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urldefense.us/v3/__https:/www.cdc.gov/nchhstp/newsroom/2022/Doxy-PEP-clinical-data-presented-at-2022-AIDS-Conference.html__;!!Og_tST9LxTiQE1I!u2Y0temeirjMgKYh7NhVizF_ZQTF5nCDjVp954KHhtNT8IWYoiuYiOUuk4t-oSH6gcx1XmpD79zjNg$" TargetMode="External"/><Relationship Id="rId4" Type="http://schemas.openxmlformats.org/officeDocument/2006/relationships/webSettings" Target="webSettings.xml"/><Relationship Id="rId9" Type="http://schemas.openxmlformats.org/officeDocument/2006/relationships/hyperlink" Target="https://urldefense.us/v3/__https:/www.cdc.gov/std/treatment-guidelines/clinical-primary.htm*anchor_1613586622156__;Iw!!Og_tST9LxTiQE1I!u2Y0temeirjMgKYh7NhVizF_ZQTF5nCDjVp954KHhtNT8IWYoiuYiOUuk4t-oSH6gcx1XmovKpyi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1195</TotalTime>
  <Pages>4</Pages>
  <Words>1358</Words>
  <Characters>7742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Andrew (IHS/HQ)</dc:creator>
  <cp:keywords/>
  <dc:description/>
  <cp:lastModifiedBy>Yu, Andrew (IHS/HQ)</cp:lastModifiedBy>
  <cp:revision>25</cp:revision>
  <dcterms:created xsi:type="dcterms:W3CDTF">2023-08-16T19:25:00Z</dcterms:created>
  <dcterms:modified xsi:type="dcterms:W3CDTF">2023-09-14T21:11:00Z</dcterms:modified>
</cp:coreProperties>
</file>