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CD98D" w14:textId="28586041" w:rsidR="000C7BDF" w:rsidRPr="00375A69" w:rsidRDefault="000F329D" w:rsidP="00375A69">
      <w:pPr>
        <w:pStyle w:val="Title"/>
        <w:spacing w:before="0" w:after="0" w:line="240" w:lineRule="auto"/>
        <w:ind w:right="-90"/>
        <w:jc w:val="center"/>
        <w:rPr>
          <w:b/>
          <w:color w:val="365F91"/>
          <w:sz w:val="24"/>
        </w:rPr>
      </w:pPr>
      <w:r>
        <w:rPr>
          <w:b/>
          <w:color w:val="365F91"/>
          <w:sz w:val="24"/>
        </w:rPr>
        <w:t>Guidelines</w:t>
      </w:r>
      <w:r w:rsidR="00D12E99" w:rsidRPr="00375A69">
        <w:rPr>
          <w:b/>
          <w:color w:val="365F91"/>
          <w:sz w:val="24"/>
        </w:rPr>
        <w:t xml:space="preserve"> for </w:t>
      </w:r>
      <w:r w:rsidR="009A362C">
        <w:rPr>
          <w:b/>
          <w:color w:val="365F91"/>
          <w:sz w:val="24"/>
        </w:rPr>
        <w:t>Screening, Management and pre-treatment work-up for Hepatitis C virus (hC</w:t>
      </w:r>
      <w:r w:rsidR="006C4BC4">
        <w:rPr>
          <w:b/>
          <w:color w:val="365F91"/>
          <w:sz w:val="24"/>
        </w:rPr>
        <w:t xml:space="preserve">v) </w:t>
      </w:r>
      <w:r w:rsidR="00D12E99" w:rsidRPr="00375A69">
        <w:rPr>
          <w:b/>
          <w:color w:val="365F91"/>
          <w:sz w:val="24"/>
        </w:rPr>
        <w:t xml:space="preserve">Within </w:t>
      </w:r>
    </w:p>
    <w:p w14:paraId="3622CECA" w14:textId="30C7E207" w:rsidR="000C7BDF" w:rsidRDefault="00D12E99" w:rsidP="00B45DA0">
      <w:pPr>
        <w:pStyle w:val="Title"/>
        <w:spacing w:before="0" w:after="0" w:line="240" w:lineRule="auto"/>
        <w:ind w:right="-90"/>
        <w:jc w:val="center"/>
        <w:rPr>
          <w:b/>
          <w:color w:val="365F91"/>
          <w:sz w:val="24"/>
          <w:szCs w:val="24"/>
        </w:rPr>
      </w:pPr>
      <w:r w:rsidRPr="00D060E8">
        <w:rPr>
          <w:b/>
          <w:color w:val="365F91"/>
          <w:sz w:val="24"/>
          <w:szCs w:val="24"/>
        </w:rPr>
        <w:t>IHS</w:t>
      </w:r>
      <w:r w:rsidR="00DC2B03" w:rsidRPr="00D060E8">
        <w:rPr>
          <w:b/>
          <w:color w:val="365F91"/>
          <w:sz w:val="24"/>
          <w:szCs w:val="24"/>
        </w:rPr>
        <w:t>,</w:t>
      </w:r>
      <w:r w:rsidRPr="00D060E8">
        <w:rPr>
          <w:b/>
          <w:color w:val="365F91"/>
          <w:sz w:val="24"/>
          <w:szCs w:val="24"/>
        </w:rPr>
        <w:t xml:space="preserve"> Tribal </w:t>
      </w:r>
      <w:r w:rsidR="00DC2B03" w:rsidRPr="00D060E8">
        <w:rPr>
          <w:b/>
          <w:color w:val="365F91"/>
          <w:sz w:val="24"/>
          <w:szCs w:val="24"/>
        </w:rPr>
        <w:t xml:space="preserve">and urban Indian </w:t>
      </w:r>
      <w:r w:rsidRPr="00D060E8">
        <w:rPr>
          <w:b/>
          <w:color w:val="365F91"/>
          <w:sz w:val="24"/>
          <w:szCs w:val="24"/>
        </w:rPr>
        <w:t>Healthcare Facilities</w:t>
      </w:r>
    </w:p>
    <w:p w14:paraId="7F36FEE1" w14:textId="0783AFBC" w:rsidR="00431C31" w:rsidRPr="001A5244" w:rsidRDefault="00431C31" w:rsidP="001A5244">
      <w:pPr>
        <w:pBdr>
          <w:top w:val="single" w:sz="4" w:space="1" w:color="auto"/>
          <w:left w:val="single" w:sz="4" w:space="4" w:color="auto"/>
          <w:bottom w:val="single" w:sz="4" w:space="1" w:color="auto"/>
          <w:right w:val="single" w:sz="4" w:space="4" w:color="auto"/>
        </w:pBdr>
        <w:rPr>
          <w:b/>
          <w:i/>
          <w:sz w:val="24"/>
          <w:szCs w:val="24"/>
        </w:rPr>
      </w:pPr>
      <w:r w:rsidRPr="001A5244">
        <w:rPr>
          <w:b/>
          <w:i/>
          <w:sz w:val="24"/>
          <w:szCs w:val="24"/>
        </w:rPr>
        <w:t>This template is a sample policy for HCV screening, follow up, and treatment.  This is a template, and as such it is not comprehensive and does not mandate any clinical activities.  It does provide a sample policy for I/T/U facilities to provide a range of HCV services at the primary care level, and should be adapted as needed to reflect local conditions and priorities.  An HCV policy can be instrumental for clinical staff to understand HCV patient needs, clinical algorithms, and best practices.  American Indian</w:t>
      </w:r>
      <w:r w:rsidR="001C1662">
        <w:rPr>
          <w:b/>
          <w:i/>
          <w:sz w:val="24"/>
          <w:szCs w:val="24"/>
        </w:rPr>
        <w:t>s</w:t>
      </w:r>
      <w:r w:rsidRPr="001A5244">
        <w:rPr>
          <w:b/>
          <w:i/>
          <w:sz w:val="24"/>
          <w:szCs w:val="24"/>
        </w:rPr>
        <w:t>/Alaska Native</w:t>
      </w:r>
      <w:r w:rsidR="001C1662">
        <w:rPr>
          <w:b/>
          <w:i/>
          <w:sz w:val="24"/>
          <w:szCs w:val="24"/>
        </w:rPr>
        <w:t>s</w:t>
      </w:r>
      <w:r w:rsidRPr="001A5244">
        <w:rPr>
          <w:b/>
          <w:i/>
          <w:sz w:val="24"/>
          <w:szCs w:val="24"/>
        </w:rPr>
        <w:t xml:space="preserve"> have the highest rate of mortality from HCV all I/T/U </w:t>
      </w:r>
      <w:r w:rsidR="00182018" w:rsidRPr="001A5244">
        <w:rPr>
          <w:b/>
          <w:i/>
          <w:sz w:val="24"/>
          <w:szCs w:val="24"/>
        </w:rPr>
        <w:t>facilities</w:t>
      </w:r>
      <w:r w:rsidRPr="001A5244">
        <w:rPr>
          <w:b/>
          <w:i/>
          <w:sz w:val="24"/>
          <w:szCs w:val="24"/>
        </w:rPr>
        <w:t xml:space="preserve"> are encouraged to provide early detection and linkage to care.  For further </w:t>
      </w:r>
      <w:r w:rsidR="00182018">
        <w:rPr>
          <w:b/>
          <w:i/>
          <w:sz w:val="24"/>
          <w:szCs w:val="24"/>
        </w:rPr>
        <w:t>questions or support, contact Dr.</w:t>
      </w:r>
      <w:r w:rsidRPr="001A5244">
        <w:rPr>
          <w:b/>
          <w:i/>
          <w:sz w:val="24"/>
          <w:szCs w:val="24"/>
        </w:rPr>
        <w:t xml:space="preserve"> Jonathan Iralu, Chief Clinical Consultant, Infectious Disease, jonathan.iralu@ihs.gov</w:t>
      </w:r>
    </w:p>
    <w:p w14:paraId="6DC84E7C" w14:textId="7598F112" w:rsidR="00D12E99" w:rsidRPr="001E5554" w:rsidRDefault="00D12E99" w:rsidP="00D12E99">
      <w:pPr>
        <w:pStyle w:val="Heading2"/>
        <w:rPr>
          <w:rFonts w:asciiTheme="minorHAnsi" w:hAnsiTheme="minorHAnsi"/>
          <w:sz w:val="24"/>
          <w:szCs w:val="24"/>
        </w:rPr>
      </w:pPr>
      <w:r w:rsidRPr="001E5554">
        <w:rPr>
          <w:rFonts w:asciiTheme="minorHAnsi" w:hAnsiTheme="minorHAnsi"/>
          <w:sz w:val="24"/>
          <w:szCs w:val="24"/>
        </w:rPr>
        <w:t>Purpose</w:t>
      </w:r>
    </w:p>
    <w:p w14:paraId="3877E269" w14:textId="731FDAB8" w:rsidR="00D12E99" w:rsidRPr="001E5554" w:rsidRDefault="006C4BC4" w:rsidP="00375A69">
      <w:pPr>
        <w:tabs>
          <w:tab w:val="left" w:pos="9900"/>
        </w:tabs>
        <w:ind w:right="-180"/>
        <w:rPr>
          <w:rFonts w:asciiTheme="minorHAnsi" w:hAnsiTheme="minorHAnsi"/>
          <w:sz w:val="24"/>
          <w:szCs w:val="24"/>
        </w:rPr>
      </w:pPr>
      <w:r w:rsidRPr="001E5554">
        <w:rPr>
          <w:rFonts w:asciiTheme="minorHAnsi" w:hAnsiTheme="minorHAnsi"/>
          <w:sz w:val="24"/>
          <w:szCs w:val="24"/>
        </w:rPr>
        <w:t xml:space="preserve">To expand </w:t>
      </w:r>
      <w:r w:rsidR="009A362C" w:rsidRPr="001E5554">
        <w:rPr>
          <w:rFonts w:asciiTheme="minorHAnsi" w:hAnsiTheme="minorHAnsi"/>
          <w:sz w:val="24"/>
          <w:szCs w:val="24"/>
        </w:rPr>
        <w:t xml:space="preserve">screening, management and pre-treatment care for HCV infection. </w:t>
      </w:r>
    </w:p>
    <w:p w14:paraId="6A359741" w14:textId="77777777" w:rsidR="00D12E99" w:rsidRPr="001E5554" w:rsidRDefault="00D12E99" w:rsidP="00375A69">
      <w:pPr>
        <w:pStyle w:val="Heading2"/>
        <w:rPr>
          <w:rFonts w:asciiTheme="minorHAnsi" w:hAnsiTheme="minorHAnsi"/>
          <w:sz w:val="24"/>
          <w:szCs w:val="24"/>
        </w:rPr>
      </w:pPr>
      <w:r w:rsidRPr="001E5554">
        <w:rPr>
          <w:rFonts w:asciiTheme="minorHAnsi" w:hAnsiTheme="minorHAnsi"/>
          <w:sz w:val="24"/>
          <w:szCs w:val="24"/>
        </w:rPr>
        <w:t>background</w:t>
      </w:r>
    </w:p>
    <w:p w14:paraId="6F189E7E" w14:textId="10C5E0FE" w:rsidR="009A362C" w:rsidRPr="001E5554" w:rsidRDefault="009A362C" w:rsidP="00504F83">
      <w:pPr>
        <w:rPr>
          <w:rFonts w:asciiTheme="minorHAnsi" w:hAnsiTheme="minorHAnsi"/>
          <w:sz w:val="24"/>
          <w:szCs w:val="24"/>
        </w:rPr>
      </w:pPr>
      <w:r w:rsidRPr="001E5554">
        <w:rPr>
          <w:rFonts w:asciiTheme="minorHAnsi" w:hAnsiTheme="minorHAnsi"/>
          <w:sz w:val="24"/>
          <w:szCs w:val="24"/>
        </w:rPr>
        <w:t>In the United States,</w:t>
      </w:r>
      <w:r w:rsidR="004711BD">
        <w:rPr>
          <w:rFonts w:asciiTheme="minorHAnsi" w:hAnsiTheme="minorHAnsi"/>
          <w:sz w:val="24"/>
          <w:szCs w:val="24"/>
        </w:rPr>
        <w:t xml:space="preserve"> an estimated 3 million persons</w:t>
      </w:r>
      <w:r w:rsidRPr="001E5554">
        <w:rPr>
          <w:rFonts w:asciiTheme="minorHAnsi" w:hAnsiTheme="minorHAnsi"/>
          <w:sz w:val="24"/>
          <w:szCs w:val="24"/>
        </w:rPr>
        <w:t xml:space="preserve"> are chronically infected with HCV. </w:t>
      </w:r>
      <w:r w:rsidRPr="001E5554">
        <w:rPr>
          <w:rFonts w:asciiTheme="minorHAnsi" w:hAnsiTheme="minorHAnsi"/>
          <w:sz w:val="24"/>
          <w:szCs w:val="24"/>
        </w:rPr>
        <w:fldChar w:fldCharType="begin">
          <w:fldData xml:space="preserve">PEVuZE5vdGU+PENpdGU+PEF1dGhvcj5EZW5uaXN0b248L0F1dGhvcj48WWVhcj4yMDE0PC9ZZWFy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</w:fldData>
        </w:fldChar>
      </w:r>
      <w:r w:rsidRPr="001E5554">
        <w:rPr>
          <w:rFonts w:asciiTheme="minorHAnsi" w:hAnsiTheme="minorHAnsi"/>
          <w:sz w:val="24"/>
          <w:szCs w:val="24"/>
        </w:rPr>
        <w:instrText xml:space="preserve"> ADDIN EN.CITE </w:instrText>
      </w:r>
      <w:r w:rsidRPr="001E5554">
        <w:rPr>
          <w:rFonts w:asciiTheme="minorHAnsi" w:hAnsiTheme="minorHAnsi"/>
          <w:sz w:val="24"/>
          <w:szCs w:val="24"/>
        </w:rPr>
        <w:fldChar w:fldCharType="begin">
          <w:fldData xml:space="preserve">PEVuZE5vdGU+PENpdGU+PEF1dGhvcj5EZW5uaXN0b248L0F1dGhvcj48WWVhcj4yMDE0PC9ZZWFy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</w:fldData>
        </w:fldChar>
      </w:r>
      <w:r w:rsidRPr="001E5554">
        <w:rPr>
          <w:rFonts w:asciiTheme="minorHAnsi" w:hAnsiTheme="minorHAnsi"/>
          <w:sz w:val="24"/>
          <w:szCs w:val="24"/>
        </w:rPr>
        <w:instrText xml:space="preserve"> ADDIN EN.CITE.DATA </w:instrText>
      </w:r>
      <w:r w:rsidRPr="001E5554">
        <w:rPr>
          <w:rFonts w:asciiTheme="minorHAnsi" w:hAnsiTheme="minorHAnsi"/>
          <w:sz w:val="24"/>
          <w:szCs w:val="24"/>
        </w:rPr>
      </w:r>
      <w:r w:rsidRPr="001E5554">
        <w:rPr>
          <w:rFonts w:asciiTheme="minorHAnsi" w:hAnsiTheme="minorHAnsi"/>
          <w:sz w:val="24"/>
          <w:szCs w:val="24"/>
        </w:rPr>
        <w:fldChar w:fldCharType="end"/>
      </w:r>
      <w:r w:rsidRPr="001E5554">
        <w:rPr>
          <w:rFonts w:asciiTheme="minorHAnsi" w:hAnsiTheme="minorHAnsi"/>
          <w:sz w:val="24"/>
          <w:szCs w:val="24"/>
        </w:rPr>
      </w:r>
      <w:r w:rsidRPr="001E5554">
        <w:rPr>
          <w:rFonts w:asciiTheme="minorHAnsi" w:hAnsiTheme="minorHAnsi"/>
          <w:sz w:val="24"/>
          <w:szCs w:val="24"/>
        </w:rPr>
        <w:fldChar w:fldCharType="separate"/>
      </w:r>
      <w:r w:rsidRPr="001E5554">
        <w:rPr>
          <w:rFonts w:asciiTheme="minorHAnsi" w:hAnsiTheme="minorHAnsi"/>
          <w:noProof/>
          <w:sz w:val="24"/>
          <w:szCs w:val="24"/>
        </w:rPr>
        <w:t>[1]</w:t>
      </w:r>
      <w:r w:rsidRPr="001E5554">
        <w:rPr>
          <w:rFonts w:asciiTheme="minorHAnsi" w:hAnsiTheme="minorHAnsi"/>
          <w:sz w:val="24"/>
          <w:szCs w:val="24"/>
        </w:rPr>
        <w:fldChar w:fldCharType="end"/>
      </w:r>
      <w:r w:rsidRPr="001E5554">
        <w:rPr>
          <w:rFonts w:asciiTheme="minorHAnsi" w:hAnsiTheme="minorHAnsi"/>
          <w:sz w:val="24"/>
          <w:szCs w:val="24"/>
        </w:rPr>
        <w:t xml:space="preserve"> Compared to other racial and ethnic groups, AI/ANs experience a higher </w:t>
      </w:r>
      <w:r w:rsidR="004711BD">
        <w:rPr>
          <w:rFonts w:asciiTheme="minorHAnsi" w:hAnsiTheme="minorHAnsi"/>
          <w:sz w:val="24"/>
          <w:szCs w:val="24"/>
        </w:rPr>
        <w:t xml:space="preserve">rate of acute </w:t>
      </w:r>
      <w:r w:rsidRPr="001E5554">
        <w:rPr>
          <w:rFonts w:asciiTheme="minorHAnsi" w:hAnsiTheme="minorHAnsi"/>
          <w:sz w:val="24"/>
          <w:szCs w:val="24"/>
        </w:rPr>
        <w:t xml:space="preserve">HCV incidence and one that has increased more quickly. </w:t>
      </w:r>
      <w:r w:rsidRPr="001E5554">
        <w:rPr>
          <w:rFonts w:asciiTheme="minorHAnsi" w:hAnsiTheme="minorHAnsi"/>
          <w:sz w:val="24"/>
          <w:szCs w:val="24"/>
        </w:rPr>
        <w:fldChar w:fldCharType="begin"/>
      </w:r>
      <w:r w:rsidRPr="001E5554">
        <w:rPr>
          <w:rFonts w:asciiTheme="minorHAnsi" w:hAnsiTheme="minorHAnsi"/>
          <w:sz w:val="24"/>
          <w:szCs w:val="24"/>
        </w:rPr>
        <w:instrText xml:space="preserve"> ADDIN EN.CITE &lt;EndNote&gt;&lt;Cite&gt;&lt;Author&gt;Prevention&lt;/Author&gt;&lt;Year&gt;2014&lt;/Year&gt;&lt;RecNum&gt;3&lt;/RecNum&gt;&lt;DisplayText&gt;[2]&lt;/DisplayText&gt;&lt;record&gt;&lt;rec-number&gt;3&lt;/rec-number&gt;&lt;foreign-keys&gt;&lt;key app="EN" db-id="p20z9pv99fpf26effrkppwd19tzvsxa9tdvx" timestamp="1414450607"&gt;3&lt;/key&gt;&lt;/foreign-keys&gt;&lt;ref-type name="Web Page"&gt;12&lt;/ref-type&gt;&lt;contributors&gt;&lt;authors&gt;&lt;author&gt;Centers for Disease Control and Prevention&lt;/author&gt;&lt;/authors&gt;&lt;/contributors&gt;&lt;titles&gt;&lt;title&gt;Surveillance for Viral Hepatitis – United States, 2012&lt;/title&gt;&lt;/titles&gt;&lt;volume&gt;2014&lt;/volume&gt;&lt;number&gt;10/27&lt;/number&gt;&lt;dates&gt;&lt;year&gt;2014&lt;/year&gt;&lt;pub-dates&gt;&lt;date&gt;9/2/14&lt;/date&gt;&lt;/pub-dates&gt;&lt;/dates&gt;&lt;urls&gt;&lt;related-urls&gt;&lt;url&gt;http://www.cdc.gov/hepatitis/Statistics/2012Surveillance/Commentary.htm#hepC&lt;/url&gt;&lt;/related-urls&gt;&lt;/urls&gt;&lt;custom1&gt;2014&lt;/custom1&gt;&lt;custom2&gt;10/27&lt;/custom2&gt;&lt;/record&gt;&lt;/Cite&gt;&lt;/EndNote&gt;</w:instrText>
      </w:r>
      <w:r w:rsidRPr="001E5554">
        <w:rPr>
          <w:rFonts w:asciiTheme="minorHAnsi" w:hAnsiTheme="minorHAnsi"/>
          <w:sz w:val="24"/>
          <w:szCs w:val="24"/>
        </w:rPr>
        <w:fldChar w:fldCharType="separate"/>
      </w:r>
      <w:r w:rsidRPr="001E5554">
        <w:rPr>
          <w:rFonts w:asciiTheme="minorHAnsi" w:hAnsiTheme="minorHAnsi"/>
          <w:noProof/>
          <w:sz w:val="24"/>
          <w:szCs w:val="24"/>
        </w:rPr>
        <w:t>[2]</w:t>
      </w:r>
      <w:r w:rsidRPr="001E5554">
        <w:rPr>
          <w:rFonts w:asciiTheme="minorHAnsi" w:hAnsiTheme="minorHAnsi"/>
          <w:sz w:val="24"/>
          <w:szCs w:val="24"/>
        </w:rPr>
        <w:fldChar w:fldCharType="end"/>
      </w:r>
      <w:r w:rsidRPr="001E5554">
        <w:rPr>
          <w:rFonts w:asciiTheme="minorHAnsi" w:hAnsiTheme="minorHAnsi"/>
          <w:sz w:val="24"/>
          <w:szCs w:val="24"/>
        </w:rPr>
        <w:t xml:space="preserve"> Compared to whites, AI/ANs experience a three-fold higher death rate from chronic liver disease—one of the multiple complications of chronic HCV infection. </w:t>
      </w:r>
      <w:r w:rsidRPr="001E5554">
        <w:rPr>
          <w:rFonts w:asciiTheme="minorHAnsi" w:hAnsiTheme="minorHAnsi"/>
          <w:sz w:val="24"/>
          <w:szCs w:val="24"/>
        </w:rPr>
        <w:fldChar w:fldCharType="begin">
          <w:fldData xml:space="preserve">PEVuZE5vdGU+PENpdGU+PEF1dGhvcj5TdXJ5YXByYXNhZDwvQXV0aG9yPjxZZWFyPjIwMTQ8L1ll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</w:fldData>
        </w:fldChar>
      </w:r>
      <w:r w:rsidRPr="001E5554">
        <w:rPr>
          <w:rFonts w:asciiTheme="minorHAnsi" w:hAnsiTheme="minorHAnsi"/>
          <w:sz w:val="24"/>
          <w:szCs w:val="24"/>
        </w:rPr>
        <w:instrText xml:space="preserve"> ADDIN EN.CITE </w:instrText>
      </w:r>
      <w:r w:rsidRPr="001E5554">
        <w:rPr>
          <w:rFonts w:asciiTheme="minorHAnsi" w:hAnsiTheme="minorHAnsi"/>
          <w:sz w:val="24"/>
          <w:szCs w:val="24"/>
        </w:rPr>
        <w:fldChar w:fldCharType="begin">
          <w:fldData xml:space="preserve">PEVuZE5vdGU+PENpdGU+PEF1dGhvcj5TdXJ5YXByYXNhZDwvQXV0aG9yPjxZZWFyPjIwMTQ8L1ll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</w:fldData>
        </w:fldChar>
      </w:r>
      <w:r w:rsidRPr="001E5554">
        <w:rPr>
          <w:rFonts w:asciiTheme="minorHAnsi" w:hAnsiTheme="minorHAnsi"/>
          <w:sz w:val="24"/>
          <w:szCs w:val="24"/>
        </w:rPr>
        <w:instrText xml:space="preserve"> ADDIN EN.CITE.DATA </w:instrText>
      </w:r>
      <w:r w:rsidRPr="001E5554">
        <w:rPr>
          <w:rFonts w:asciiTheme="minorHAnsi" w:hAnsiTheme="minorHAnsi"/>
          <w:sz w:val="24"/>
          <w:szCs w:val="24"/>
        </w:rPr>
      </w:r>
      <w:r w:rsidRPr="001E5554">
        <w:rPr>
          <w:rFonts w:asciiTheme="minorHAnsi" w:hAnsiTheme="minorHAnsi"/>
          <w:sz w:val="24"/>
          <w:szCs w:val="24"/>
        </w:rPr>
        <w:fldChar w:fldCharType="end"/>
      </w:r>
      <w:r w:rsidRPr="001E5554">
        <w:rPr>
          <w:rFonts w:asciiTheme="minorHAnsi" w:hAnsiTheme="minorHAnsi"/>
          <w:sz w:val="24"/>
          <w:szCs w:val="24"/>
        </w:rPr>
      </w:r>
      <w:r w:rsidRPr="001E5554">
        <w:rPr>
          <w:rFonts w:asciiTheme="minorHAnsi" w:hAnsiTheme="minorHAnsi"/>
          <w:sz w:val="24"/>
          <w:szCs w:val="24"/>
        </w:rPr>
        <w:fldChar w:fldCharType="separate"/>
      </w:r>
      <w:r w:rsidRPr="001E5554">
        <w:rPr>
          <w:rFonts w:asciiTheme="minorHAnsi" w:hAnsiTheme="minorHAnsi"/>
          <w:noProof/>
          <w:sz w:val="24"/>
          <w:szCs w:val="24"/>
        </w:rPr>
        <w:t>[3]</w:t>
      </w:r>
      <w:r w:rsidRPr="001E5554">
        <w:rPr>
          <w:rFonts w:asciiTheme="minorHAnsi" w:hAnsiTheme="minorHAnsi"/>
          <w:sz w:val="24"/>
          <w:szCs w:val="24"/>
        </w:rPr>
        <w:fldChar w:fldCharType="end"/>
      </w:r>
    </w:p>
    <w:p w14:paraId="78C86357" w14:textId="45D10D4F" w:rsidR="009A362C" w:rsidRPr="001E5554" w:rsidRDefault="009A362C" w:rsidP="00504F83">
      <w:pPr>
        <w:rPr>
          <w:rFonts w:asciiTheme="minorHAnsi" w:hAnsiTheme="minorHAnsi"/>
          <w:sz w:val="24"/>
          <w:szCs w:val="24"/>
        </w:rPr>
      </w:pPr>
      <w:r w:rsidRPr="001E5554">
        <w:rPr>
          <w:rFonts w:asciiTheme="minorHAnsi" w:hAnsiTheme="minorHAnsi"/>
          <w:sz w:val="24"/>
          <w:szCs w:val="24"/>
        </w:rPr>
        <w:t xml:space="preserve">Certain practices pertaining to the screening, treatment, and management of HCV can prolong the length and quality of </w:t>
      </w:r>
      <w:r w:rsidR="00382D84">
        <w:rPr>
          <w:rFonts w:asciiTheme="minorHAnsi" w:hAnsiTheme="minorHAnsi"/>
          <w:sz w:val="24"/>
          <w:szCs w:val="24"/>
        </w:rPr>
        <w:t xml:space="preserve">life of </w:t>
      </w:r>
      <w:r w:rsidR="004711BD">
        <w:rPr>
          <w:rFonts w:asciiTheme="minorHAnsi" w:hAnsiTheme="minorHAnsi"/>
          <w:sz w:val="24"/>
          <w:szCs w:val="24"/>
        </w:rPr>
        <w:t>chronically infected patients</w:t>
      </w:r>
      <w:r w:rsidRPr="001E5554">
        <w:rPr>
          <w:rFonts w:asciiTheme="minorHAnsi" w:hAnsiTheme="minorHAnsi"/>
          <w:sz w:val="24"/>
          <w:szCs w:val="24"/>
        </w:rPr>
        <w:t>. The American Association for the Study of Liver Diseases, the U.S. Preventive Services Task Force, and the Centers for Disease Control and Prevention endorse the below practices, as will IHS henceforth.</w:t>
      </w:r>
    </w:p>
    <w:p w14:paraId="2EBC9F8A" w14:textId="1C5DCE36" w:rsidR="009A362C" w:rsidRPr="001E5554" w:rsidRDefault="009A362C" w:rsidP="000853F8">
      <w:pPr>
        <w:rPr>
          <w:rFonts w:asciiTheme="minorHAnsi" w:hAnsiTheme="minorHAnsi"/>
          <w:sz w:val="24"/>
          <w:szCs w:val="24"/>
        </w:rPr>
      </w:pPr>
      <w:r w:rsidRPr="001E5554">
        <w:rPr>
          <w:rFonts w:asciiTheme="minorHAnsi" w:hAnsiTheme="minorHAnsi"/>
          <w:sz w:val="24"/>
          <w:szCs w:val="24"/>
        </w:rPr>
        <w:t>Among those with HCV in the U.S., 50% do not realize they are infected.</w:t>
      </w:r>
      <w:r w:rsidRPr="001E5554">
        <w:rPr>
          <w:rFonts w:asciiTheme="minorHAnsi" w:hAnsiTheme="minorHAnsi"/>
          <w:sz w:val="24"/>
          <w:szCs w:val="24"/>
        </w:rPr>
        <w:fldChar w:fldCharType="begin">
          <w:fldData xml:space="preserve">PEVuZE5vdGU+PENpdGU+PEF1dGhvcj5Zb3Vub3NzaTwvQXV0aG9yPjxZZWFyPjIwMTM8L1llYXI+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=
</w:fldData>
        </w:fldChar>
      </w:r>
      <w:r w:rsidRPr="001E5554">
        <w:rPr>
          <w:rFonts w:asciiTheme="minorHAnsi" w:hAnsiTheme="minorHAnsi"/>
          <w:sz w:val="24"/>
          <w:szCs w:val="24"/>
        </w:rPr>
        <w:instrText xml:space="preserve"> ADDIN EN.CITE </w:instrText>
      </w:r>
      <w:r w:rsidRPr="001E5554">
        <w:rPr>
          <w:rFonts w:asciiTheme="minorHAnsi" w:hAnsiTheme="minorHAnsi"/>
          <w:sz w:val="24"/>
          <w:szCs w:val="24"/>
        </w:rPr>
        <w:fldChar w:fldCharType="begin">
          <w:fldData xml:space="preserve">PEVuZE5vdGU+PENpdGU+PEF1dGhvcj5Zb3Vub3NzaTwvQXV0aG9yPjxZZWFyPjIwMTM8L1llYXI+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=
</w:fldData>
        </w:fldChar>
      </w:r>
      <w:r w:rsidRPr="001E5554">
        <w:rPr>
          <w:rFonts w:asciiTheme="minorHAnsi" w:hAnsiTheme="minorHAnsi"/>
          <w:sz w:val="24"/>
          <w:szCs w:val="24"/>
        </w:rPr>
        <w:instrText xml:space="preserve"> ADDIN EN.CITE.DATA </w:instrText>
      </w:r>
      <w:r w:rsidRPr="001E5554">
        <w:rPr>
          <w:rFonts w:asciiTheme="minorHAnsi" w:hAnsiTheme="minorHAnsi"/>
          <w:sz w:val="24"/>
          <w:szCs w:val="24"/>
        </w:rPr>
      </w:r>
      <w:r w:rsidRPr="001E5554">
        <w:rPr>
          <w:rFonts w:asciiTheme="minorHAnsi" w:hAnsiTheme="minorHAnsi"/>
          <w:sz w:val="24"/>
          <w:szCs w:val="24"/>
        </w:rPr>
        <w:fldChar w:fldCharType="end"/>
      </w:r>
      <w:r w:rsidRPr="001E5554">
        <w:rPr>
          <w:rFonts w:asciiTheme="minorHAnsi" w:hAnsiTheme="minorHAnsi"/>
          <w:sz w:val="24"/>
          <w:szCs w:val="24"/>
        </w:rPr>
      </w:r>
      <w:r w:rsidRPr="001E5554">
        <w:rPr>
          <w:rFonts w:asciiTheme="minorHAnsi" w:hAnsiTheme="minorHAnsi"/>
          <w:sz w:val="24"/>
          <w:szCs w:val="24"/>
        </w:rPr>
        <w:fldChar w:fldCharType="separate"/>
      </w:r>
      <w:r w:rsidRPr="001E5554">
        <w:rPr>
          <w:rFonts w:asciiTheme="minorHAnsi" w:hAnsiTheme="minorHAnsi"/>
          <w:noProof/>
          <w:sz w:val="24"/>
          <w:szCs w:val="24"/>
        </w:rPr>
        <w:t>[4]</w:t>
      </w:r>
      <w:r w:rsidRPr="001E5554">
        <w:rPr>
          <w:rFonts w:asciiTheme="minorHAnsi" w:hAnsiTheme="minorHAnsi"/>
          <w:sz w:val="24"/>
          <w:szCs w:val="24"/>
        </w:rPr>
        <w:fldChar w:fldCharType="end"/>
      </w:r>
      <w:r w:rsidRPr="001E5554">
        <w:rPr>
          <w:rFonts w:asciiTheme="minorHAnsi" w:hAnsiTheme="minorHAnsi"/>
          <w:sz w:val="24"/>
          <w:szCs w:val="24"/>
        </w:rPr>
        <w:t xml:space="preserve"> To identify HCV-infected patients, IHS clinicians should screen high-risk patients and all patients born </w:t>
      </w:r>
      <w:r w:rsidR="00382D84">
        <w:rPr>
          <w:rFonts w:asciiTheme="minorHAnsi" w:hAnsiTheme="minorHAnsi"/>
          <w:sz w:val="24"/>
          <w:szCs w:val="24"/>
        </w:rPr>
        <w:t xml:space="preserve">from </w:t>
      </w:r>
      <w:r w:rsidRPr="001E5554">
        <w:rPr>
          <w:rFonts w:asciiTheme="minorHAnsi" w:hAnsiTheme="minorHAnsi"/>
          <w:sz w:val="24"/>
          <w:szCs w:val="24"/>
        </w:rPr>
        <w:t xml:space="preserve">1945 </w:t>
      </w:r>
      <w:r w:rsidR="00382D84">
        <w:rPr>
          <w:rFonts w:asciiTheme="minorHAnsi" w:hAnsiTheme="minorHAnsi"/>
          <w:sz w:val="24"/>
          <w:szCs w:val="24"/>
        </w:rPr>
        <w:t>to</w:t>
      </w:r>
      <w:r w:rsidRPr="001E5554">
        <w:rPr>
          <w:rFonts w:asciiTheme="minorHAnsi" w:hAnsiTheme="minorHAnsi"/>
          <w:sz w:val="24"/>
          <w:szCs w:val="24"/>
        </w:rPr>
        <w:t xml:space="preserve"> 1965 for the presence of HCV antibodies. Patients born 1945</w:t>
      </w:r>
      <w:r w:rsidR="00382D84">
        <w:rPr>
          <w:rFonts w:asciiTheme="minorHAnsi" w:hAnsiTheme="minorHAnsi"/>
          <w:sz w:val="24"/>
          <w:szCs w:val="24"/>
        </w:rPr>
        <w:t>-</w:t>
      </w:r>
      <w:r w:rsidRPr="001E5554">
        <w:rPr>
          <w:rFonts w:asciiTheme="minorHAnsi" w:hAnsiTheme="minorHAnsi"/>
          <w:sz w:val="24"/>
          <w:szCs w:val="24"/>
        </w:rPr>
        <w:t xml:space="preserve">1965 </w:t>
      </w:r>
      <w:r w:rsidR="001120F6" w:rsidRPr="001E5554">
        <w:rPr>
          <w:rFonts w:asciiTheme="minorHAnsi" w:hAnsiTheme="minorHAnsi"/>
          <w:sz w:val="24"/>
          <w:szCs w:val="24"/>
        </w:rPr>
        <w:t>accounts</w:t>
      </w:r>
      <w:r w:rsidRPr="001E5554">
        <w:rPr>
          <w:rFonts w:asciiTheme="minorHAnsi" w:hAnsiTheme="minorHAnsi"/>
          <w:sz w:val="24"/>
          <w:szCs w:val="24"/>
        </w:rPr>
        <w:t xml:space="preserve"> for the majority of HCV infections due to </w:t>
      </w:r>
      <w:r w:rsidR="00382D84">
        <w:rPr>
          <w:rFonts w:asciiTheme="minorHAnsi" w:hAnsiTheme="minorHAnsi"/>
          <w:sz w:val="24"/>
          <w:szCs w:val="24"/>
        </w:rPr>
        <w:t>various causes including medical exposures</w:t>
      </w:r>
      <w:r w:rsidRPr="001E5554">
        <w:rPr>
          <w:rFonts w:asciiTheme="minorHAnsi" w:hAnsiTheme="minorHAnsi"/>
          <w:sz w:val="24"/>
          <w:szCs w:val="24"/>
        </w:rPr>
        <w:t xml:space="preserve"> or having injected</w:t>
      </w:r>
      <w:r w:rsidR="001751C3">
        <w:rPr>
          <w:rFonts w:asciiTheme="minorHAnsi" w:hAnsiTheme="minorHAnsi"/>
          <w:sz w:val="24"/>
          <w:szCs w:val="24"/>
        </w:rPr>
        <w:t xml:space="preserve"> </w:t>
      </w:r>
      <w:r w:rsidRPr="001E5554">
        <w:rPr>
          <w:rFonts w:asciiTheme="minorHAnsi" w:hAnsiTheme="minorHAnsi"/>
          <w:sz w:val="24"/>
          <w:szCs w:val="24"/>
        </w:rPr>
        <w:t xml:space="preserve">drugs during </w:t>
      </w:r>
      <w:r w:rsidR="00382D84">
        <w:rPr>
          <w:rFonts w:asciiTheme="minorHAnsi" w:hAnsiTheme="minorHAnsi"/>
          <w:sz w:val="24"/>
          <w:szCs w:val="24"/>
        </w:rPr>
        <w:t>in the 1950s-</w:t>
      </w:r>
      <w:r w:rsidRPr="001E5554">
        <w:rPr>
          <w:rFonts w:asciiTheme="minorHAnsi" w:hAnsiTheme="minorHAnsi"/>
          <w:sz w:val="24"/>
          <w:szCs w:val="24"/>
        </w:rPr>
        <w:t>1980s.</w:t>
      </w:r>
      <w:r w:rsidRPr="001E5554">
        <w:rPr>
          <w:rFonts w:asciiTheme="minorHAnsi" w:hAnsiTheme="minorHAnsi"/>
          <w:sz w:val="24"/>
          <w:szCs w:val="24"/>
        </w:rPr>
        <w:fldChar w:fldCharType="begin">
          <w:fldData xml:space="preserve">PEVuZE5vdGU+PENpdGU+PEF1dGhvcj5TbWl0aDwvQXV0aG9yPjxZZWFyPjIwMTI8L1llYXI+PFJl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==
</w:fldData>
        </w:fldChar>
      </w:r>
      <w:r w:rsidRPr="001E5554">
        <w:rPr>
          <w:rFonts w:asciiTheme="minorHAnsi" w:hAnsiTheme="minorHAnsi"/>
          <w:sz w:val="24"/>
          <w:szCs w:val="24"/>
        </w:rPr>
        <w:instrText xml:space="preserve"> ADDIN EN.CITE </w:instrText>
      </w:r>
      <w:r w:rsidRPr="001E5554">
        <w:rPr>
          <w:rFonts w:asciiTheme="minorHAnsi" w:hAnsiTheme="minorHAnsi"/>
          <w:sz w:val="24"/>
          <w:szCs w:val="24"/>
        </w:rPr>
        <w:fldChar w:fldCharType="begin">
          <w:fldData xml:space="preserve">PEVuZE5vdGU+PENpdGU+PEF1dGhvcj5TbWl0aDwvQXV0aG9yPjxZZWFyPjIwMTI8L1llYXI+PFJl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==
</w:fldData>
        </w:fldChar>
      </w:r>
      <w:r w:rsidRPr="001E5554">
        <w:rPr>
          <w:rFonts w:asciiTheme="minorHAnsi" w:hAnsiTheme="minorHAnsi"/>
          <w:sz w:val="24"/>
          <w:szCs w:val="24"/>
        </w:rPr>
        <w:instrText xml:space="preserve"> ADDIN EN.CITE.DATA </w:instrText>
      </w:r>
      <w:r w:rsidRPr="001E5554">
        <w:rPr>
          <w:rFonts w:asciiTheme="minorHAnsi" w:hAnsiTheme="minorHAnsi"/>
          <w:sz w:val="24"/>
          <w:szCs w:val="24"/>
        </w:rPr>
      </w:r>
      <w:r w:rsidRPr="001E5554">
        <w:rPr>
          <w:rFonts w:asciiTheme="minorHAnsi" w:hAnsiTheme="minorHAnsi"/>
          <w:sz w:val="24"/>
          <w:szCs w:val="24"/>
        </w:rPr>
        <w:fldChar w:fldCharType="end"/>
      </w:r>
      <w:r w:rsidRPr="001E5554">
        <w:rPr>
          <w:rFonts w:asciiTheme="minorHAnsi" w:hAnsiTheme="minorHAnsi"/>
          <w:sz w:val="24"/>
          <w:szCs w:val="24"/>
        </w:rPr>
      </w:r>
      <w:r w:rsidRPr="001E5554">
        <w:rPr>
          <w:rFonts w:asciiTheme="minorHAnsi" w:hAnsiTheme="minorHAnsi"/>
          <w:sz w:val="24"/>
          <w:szCs w:val="24"/>
        </w:rPr>
        <w:fldChar w:fldCharType="separate"/>
      </w:r>
      <w:r w:rsidRPr="001E5554">
        <w:rPr>
          <w:rFonts w:asciiTheme="minorHAnsi" w:hAnsiTheme="minorHAnsi"/>
          <w:noProof/>
          <w:sz w:val="24"/>
          <w:szCs w:val="24"/>
        </w:rPr>
        <w:t>[5]</w:t>
      </w:r>
      <w:r w:rsidRPr="001E5554">
        <w:rPr>
          <w:rFonts w:asciiTheme="minorHAnsi" w:hAnsiTheme="minorHAnsi"/>
          <w:sz w:val="24"/>
          <w:szCs w:val="24"/>
        </w:rPr>
        <w:fldChar w:fldCharType="end"/>
      </w:r>
      <w:r w:rsidRPr="001E5554">
        <w:rPr>
          <w:rFonts w:asciiTheme="minorHAnsi" w:hAnsiTheme="minorHAnsi"/>
          <w:sz w:val="24"/>
          <w:szCs w:val="24"/>
        </w:rPr>
        <w:t xml:space="preserve"> Clinicians should confirm patients testing positive for HCV antibodies for HCV infection. After confirming HCV infection, clinicians should </w:t>
      </w:r>
      <w:r w:rsidR="00382D84">
        <w:rPr>
          <w:rFonts w:asciiTheme="minorHAnsi" w:hAnsiTheme="minorHAnsi"/>
          <w:sz w:val="24"/>
          <w:szCs w:val="24"/>
        </w:rPr>
        <w:t xml:space="preserve">continue with a </w:t>
      </w:r>
      <w:proofErr w:type="spellStart"/>
      <w:r w:rsidR="00382D84">
        <w:rPr>
          <w:rFonts w:asciiTheme="minorHAnsi" w:hAnsiTheme="minorHAnsi"/>
          <w:sz w:val="24"/>
          <w:szCs w:val="24"/>
        </w:rPr>
        <w:t>a</w:t>
      </w:r>
      <w:proofErr w:type="spellEnd"/>
      <w:r w:rsidR="00382D84">
        <w:rPr>
          <w:rFonts w:asciiTheme="minorHAnsi" w:hAnsiTheme="minorHAnsi"/>
          <w:sz w:val="24"/>
          <w:szCs w:val="24"/>
        </w:rPr>
        <w:t xml:space="preserve"> pre-treatment checklist and in consultation with a specialist when needed, </w:t>
      </w:r>
      <w:r w:rsidRPr="001E5554">
        <w:rPr>
          <w:rFonts w:asciiTheme="minorHAnsi" w:hAnsiTheme="minorHAnsi"/>
          <w:sz w:val="24"/>
          <w:szCs w:val="24"/>
        </w:rPr>
        <w:t>start patients on appropriate treatment regimens and continuously monitor patients’ progress until they reach a cure.</w:t>
      </w:r>
    </w:p>
    <w:p w14:paraId="1541462E" w14:textId="17BF6364" w:rsidR="009A362C" w:rsidRPr="001E5554" w:rsidRDefault="009A362C" w:rsidP="00504F83">
      <w:pPr>
        <w:rPr>
          <w:rFonts w:asciiTheme="minorHAnsi" w:hAnsiTheme="minorHAnsi"/>
          <w:sz w:val="24"/>
          <w:szCs w:val="24"/>
        </w:rPr>
      </w:pPr>
      <w:r w:rsidRPr="001E5554">
        <w:rPr>
          <w:rFonts w:asciiTheme="minorHAnsi" w:hAnsiTheme="minorHAnsi"/>
          <w:sz w:val="24"/>
          <w:szCs w:val="24"/>
        </w:rPr>
        <w:lastRenderedPageBreak/>
        <w:t>A number of individuals in the IHS patient population have been diagnosed with HCV, but have never been linked to treatment. Over a 30-year period,</w:t>
      </w:r>
      <w:r w:rsidR="00382D84">
        <w:rPr>
          <w:rFonts w:asciiTheme="minorHAnsi" w:hAnsiTheme="minorHAnsi"/>
          <w:sz w:val="24"/>
          <w:szCs w:val="24"/>
        </w:rPr>
        <w:t xml:space="preserve"> an estimated</w:t>
      </w:r>
      <w:r w:rsidRPr="001E5554">
        <w:rPr>
          <w:rFonts w:asciiTheme="minorHAnsi" w:hAnsiTheme="minorHAnsi"/>
          <w:sz w:val="24"/>
          <w:szCs w:val="24"/>
        </w:rPr>
        <w:t xml:space="preserve"> 85% of patients with acute HCV infection will go on to develop chronic HCV infection, 34% of patients will go on to develop cirrhosis, and 9% of patients will go on to develop hepatocellular carcinoma. Currently, effective treatments for HCV can reduce HCV viral loads to virtually non-detectable levels without the need for </w:t>
      </w:r>
      <w:proofErr w:type="spellStart"/>
      <w:r w:rsidRPr="001E5554">
        <w:rPr>
          <w:rFonts w:asciiTheme="minorHAnsi" w:hAnsiTheme="minorHAnsi"/>
          <w:sz w:val="24"/>
          <w:szCs w:val="24"/>
        </w:rPr>
        <w:t>pegylated</w:t>
      </w:r>
      <w:proofErr w:type="spellEnd"/>
      <w:r w:rsidRPr="001E5554">
        <w:rPr>
          <w:rFonts w:asciiTheme="minorHAnsi" w:hAnsiTheme="minorHAnsi"/>
          <w:sz w:val="24"/>
          <w:szCs w:val="24"/>
        </w:rPr>
        <w:t xml:space="preserve"> interferon, a medication associated with a longer duration of treatment and more severe side effects than other treatments. To prevent progression to cirrhosis, hepatocellular carcinoma, and liver failure, clinicians should stage HCV-infected patients, prioritizing patients with advanced liver fibrosis stages to receive immediate treatment. Clinicians should monitor patients with early liver fibrosis stages and also start these patients on treatment as it becomes available.</w:t>
      </w:r>
    </w:p>
    <w:p w14:paraId="759EC65F" w14:textId="33E96717" w:rsidR="009A362C" w:rsidRPr="001E5554" w:rsidRDefault="009A362C" w:rsidP="000853F8">
      <w:pPr>
        <w:pStyle w:val="Heading2"/>
        <w:rPr>
          <w:rFonts w:asciiTheme="minorHAnsi" w:hAnsiTheme="minorHAnsi"/>
          <w:sz w:val="24"/>
          <w:szCs w:val="24"/>
        </w:rPr>
      </w:pPr>
      <w:r w:rsidRPr="001E5554">
        <w:rPr>
          <w:rFonts w:asciiTheme="minorHAnsi" w:hAnsiTheme="minorHAnsi"/>
          <w:sz w:val="24"/>
          <w:szCs w:val="24"/>
        </w:rPr>
        <w:t>Definitions</w:t>
      </w:r>
    </w:p>
    <w:p w14:paraId="128A7F84" w14:textId="384850A5" w:rsidR="009A362C" w:rsidRPr="001E5554" w:rsidRDefault="009A362C" w:rsidP="00504F83">
      <w:pPr>
        <w:rPr>
          <w:rFonts w:asciiTheme="minorHAnsi" w:hAnsiTheme="minorHAnsi"/>
          <w:sz w:val="24"/>
          <w:szCs w:val="24"/>
        </w:rPr>
      </w:pPr>
      <w:r w:rsidRPr="001E5554">
        <w:rPr>
          <w:rStyle w:val="Heading3Char"/>
          <w:rFonts w:asciiTheme="minorHAnsi" w:hAnsiTheme="minorHAnsi"/>
          <w:sz w:val="24"/>
          <w:szCs w:val="24"/>
        </w:rPr>
        <w:t>Hepatitis C Virus (HCV)</w:t>
      </w:r>
      <w:r w:rsidR="00504F83" w:rsidRPr="001E5554">
        <w:rPr>
          <w:rStyle w:val="Heading3Char"/>
          <w:rFonts w:asciiTheme="minorHAnsi" w:hAnsiTheme="minorHAnsi"/>
          <w:sz w:val="24"/>
          <w:szCs w:val="24"/>
        </w:rPr>
        <w:t>:</w:t>
      </w:r>
      <w:r w:rsidR="00504F83" w:rsidRPr="001E5554">
        <w:rPr>
          <w:rFonts w:asciiTheme="minorHAnsi" w:hAnsiTheme="minorHAnsi"/>
          <w:sz w:val="24"/>
          <w:szCs w:val="24"/>
        </w:rPr>
        <w:t xml:space="preserve"> </w:t>
      </w:r>
      <w:r w:rsidRPr="001E5554">
        <w:rPr>
          <w:rFonts w:asciiTheme="minorHAnsi" w:hAnsiTheme="minorHAnsi"/>
          <w:sz w:val="24"/>
          <w:szCs w:val="24"/>
        </w:rPr>
        <w:t>International Classification of Disease (ICD)-9: 070.41, 070.44, 070.51, 070.54, 070.70 through 070.71; ICD-10: B17.10, B17.11, B18.2, B19.20, B19.21 and HCV screening as Correct Procedural Terminology (CPT) 86803, or as per local Logical Observation Identifiers Names and Codes (LOINC) or laboratory taxonomies for hepatitis antibody testing.</w:t>
      </w:r>
    </w:p>
    <w:p w14:paraId="4103A9D5" w14:textId="41FCD82A" w:rsidR="009A362C" w:rsidRPr="001E5554" w:rsidRDefault="009A362C" w:rsidP="00504F83">
      <w:pPr>
        <w:rPr>
          <w:rFonts w:asciiTheme="minorHAnsi" w:hAnsiTheme="minorHAnsi"/>
          <w:sz w:val="24"/>
          <w:szCs w:val="24"/>
        </w:rPr>
      </w:pPr>
      <w:r w:rsidRPr="001E5554">
        <w:rPr>
          <w:rStyle w:val="Heading3Char"/>
          <w:rFonts w:asciiTheme="minorHAnsi" w:hAnsiTheme="minorHAnsi"/>
          <w:sz w:val="24"/>
          <w:szCs w:val="24"/>
        </w:rPr>
        <w:t xml:space="preserve">Sustained </w:t>
      </w:r>
      <w:proofErr w:type="spellStart"/>
      <w:r w:rsidRPr="001E5554">
        <w:rPr>
          <w:rStyle w:val="Heading3Char"/>
          <w:rFonts w:asciiTheme="minorHAnsi" w:hAnsiTheme="minorHAnsi"/>
          <w:sz w:val="24"/>
          <w:szCs w:val="24"/>
        </w:rPr>
        <w:t>Virologic</w:t>
      </w:r>
      <w:proofErr w:type="spellEnd"/>
      <w:r w:rsidRPr="001E5554">
        <w:rPr>
          <w:rStyle w:val="Heading3Char"/>
          <w:rFonts w:asciiTheme="minorHAnsi" w:hAnsiTheme="minorHAnsi"/>
          <w:sz w:val="24"/>
          <w:szCs w:val="24"/>
        </w:rPr>
        <w:t xml:space="preserve"> Response (SVR)</w:t>
      </w:r>
      <w:r w:rsidR="00504F83" w:rsidRPr="001E5554">
        <w:rPr>
          <w:rStyle w:val="Heading3Char"/>
          <w:rFonts w:asciiTheme="minorHAnsi" w:hAnsiTheme="minorHAnsi"/>
          <w:sz w:val="24"/>
          <w:szCs w:val="24"/>
        </w:rPr>
        <w:t>:</w:t>
      </w:r>
      <w:r w:rsidR="00504F83" w:rsidRPr="001E5554">
        <w:rPr>
          <w:rFonts w:asciiTheme="minorHAnsi" w:hAnsiTheme="minorHAnsi"/>
          <w:sz w:val="24"/>
          <w:szCs w:val="24"/>
        </w:rPr>
        <w:t xml:space="preserve"> </w:t>
      </w:r>
      <w:r w:rsidRPr="001E5554">
        <w:rPr>
          <w:rFonts w:asciiTheme="minorHAnsi" w:hAnsiTheme="minorHAnsi"/>
          <w:sz w:val="24"/>
          <w:szCs w:val="24"/>
        </w:rPr>
        <w:t>Hepatitis C virus remains undetectable in blood following completion of treatment. SVR is the goal of HCV treatment.</w:t>
      </w:r>
      <w:r w:rsidR="005E09B2">
        <w:rPr>
          <w:rFonts w:asciiTheme="minorHAnsi" w:hAnsiTheme="minorHAnsi"/>
          <w:sz w:val="24"/>
          <w:szCs w:val="24"/>
        </w:rPr>
        <w:t xml:space="preserve"> </w:t>
      </w:r>
      <w:r w:rsidR="005E09B2" w:rsidRPr="005E09B2">
        <w:rPr>
          <w:rFonts w:asciiTheme="minorHAnsi" w:hAnsiTheme="minorHAnsi"/>
          <w:sz w:val="24"/>
          <w:szCs w:val="24"/>
        </w:rPr>
        <w:t xml:space="preserve"> </w:t>
      </w:r>
      <w:r w:rsidR="005E09B2">
        <w:rPr>
          <w:rFonts w:asciiTheme="minorHAnsi" w:hAnsiTheme="minorHAnsi"/>
          <w:sz w:val="24"/>
          <w:szCs w:val="24"/>
        </w:rPr>
        <w:t>SVR,</w:t>
      </w:r>
      <w:r w:rsidR="005E09B2" w:rsidRPr="00A57DEE">
        <w:rPr>
          <w:rFonts w:asciiTheme="minorHAnsi" w:hAnsiTheme="minorHAnsi"/>
          <w:sz w:val="24"/>
          <w:szCs w:val="24"/>
        </w:rPr>
        <w:t xml:space="preserve"> the surrogate marker for HCV cure after completion of therapy is</w:t>
      </w:r>
      <w:r w:rsidR="005E09B2">
        <w:rPr>
          <w:rFonts w:asciiTheme="minorHAnsi" w:hAnsiTheme="minorHAnsi"/>
          <w:sz w:val="24"/>
          <w:szCs w:val="24"/>
        </w:rPr>
        <w:t xml:space="preserve"> </w:t>
      </w:r>
      <w:r w:rsidR="005E09B2" w:rsidRPr="00A57DEE">
        <w:rPr>
          <w:rFonts w:asciiTheme="minorHAnsi" w:hAnsiTheme="minorHAnsi"/>
          <w:sz w:val="24"/>
          <w:szCs w:val="24"/>
        </w:rPr>
        <w:t>defined as undetectable HCV RNA u</w:t>
      </w:r>
      <w:r w:rsidR="005E09B2">
        <w:rPr>
          <w:rFonts w:asciiTheme="minorHAnsi" w:hAnsiTheme="minorHAnsi"/>
          <w:sz w:val="24"/>
          <w:szCs w:val="24"/>
        </w:rPr>
        <w:t>sing a highly sensitive assay 12</w:t>
      </w:r>
      <w:r w:rsidR="005E09B2" w:rsidRPr="00A57DEE">
        <w:rPr>
          <w:rFonts w:asciiTheme="minorHAnsi" w:hAnsiTheme="minorHAnsi"/>
          <w:sz w:val="24"/>
          <w:szCs w:val="24"/>
        </w:rPr>
        <w:t xml:space="preserve"> weeks following the end of</w:t>
      </w:r>
      <w:r w:rsidR="005E09B2">
        <w:rPr>
          <w:rFonts w:asciiTheme="minorHAnsi" w:hAnsiTheme="minorHAnsi"/>
          <w:sz w:val="24"/>
          <w:szCs w:val="24"/>
        </w:rPr>
        <w:t xml:space="preserve"> </w:t>
      </w:r>
      <w:r w:rsidR="005E09B2" w:rsidRPr="00A57DEE">
        <w:rPr>
          <w:rFonts w:asciiTheme="minorHAnsi" w:hAnsiTheme="minorHAnsi"/>
          <w:sz w:val="24"/>
          <w:szCs w:val="24"/>
        </w:rPr>
        <w:t>treatment</w:t>
      </w:r>
      <w:r w:rsidR="005E09B2">
        <w:rPr>
          <w:rFonts w:asciiTheme="minorHAnsi" w:hAnsiTheme="minorHAnsi"/>
          <w:sz w:val="24"/>
          <w:szCs w:val="24"/>
        </w:rPr>
        <w:t>.</w:t>
      </w:r>
    </w:p>
    <w:p w14:paraId="79C90568" w14:textId="4DF1AA83" w:rsidR="009A362C" w:rsidRPr="001E5554" w:rsidRDefault="009A362C" w:rsidP="00504F83">
      <w:pPr>
        <w:rPr>
          <w:rFonts w:asciiTheme="minorHAnsi" w:hAnsiTheme="minorHAnsi"/>
          <w:sz w:val="24"/>
          <w:szCs w:val="24"/>
        </w:rPr>
      </w:pPr>
      <w:r w:rsidRPr="001E5554">
        <w:rPr>
          <w:rStyle w:val="Heading3Char"/>
          <w:rFonts w:asciiTheme="minorHAnsi" w:hAnsiTheme="minorHAnsi"/>
          <w:sz w:val="24"/>
          <w:szCs w:val="24"/>
        </w:rPr>
        <w:t>High-Risk Patient</w:t>
      </w:r>
      <w:r w:rsidR="00504F83" w:rsidRPr="001E5554">
        <w:rPr>
          <w:rStyle w:val="Heading3Char"/>
          <w:rFonts w:asciiTheme="minorHAnsi" w:hAnsiTheme="minorHAnsi"/>
          <w:sz w:val="24"/>
          <w:szCs w:val="24"/>
        </w:rPr>
        <w:t>:</w:t>
      </w:r>
      <w:r w:rsidR="00504F83" w:rsidRPr="001E5554">
        <w:rPr>
          <w:rFonts w:asciiTheme="minorHAnsi" w:hAnsiTheme="minorHAnsi"/>
          <w:sz w:val="24"/>
          <w:szCs w:val="24"/>
        </w:rPr>
        <w:t xml:space="preserve"> </w:t>
      </w:r>
      <w:r w:rsidRPr="001E5554">
        <w:rPr>
          <w:rFonts w:asciiTheme="minorHAnsi" w:hAnsiTheme="minorHAnsi"/>
          <w:sz w:val="24"/>
          <w:szCs w:val="24"/>
        </w:rPr>
        <w:t xml:space="preserve">A patient not currently diagnosed with HCV, but who has participated in certain behaviors, possesses certain medical conditions, and/or falls into certain categories that increase his or her risk of HCV infection. </w:t>
      </w:r>
      <w:r w:rsidRPr="001E5554">
        <w:rPr>
          <w:rFonts w:asciiTheme="minorHAnsi" w:hAnsiTheme="minorHAnsi"/>
          <w:sz w:val="24"/>
          <w:szCs w:val="24"/>
        </w:rPr>
        <w:fldChar w:fldCharType="begin"/>
      </w:r>
      <w:r w:rsidRPr="001E5554">
        <w:rPr>
          <w:rFonts w:asciiTheme="minorHAnsi" w:hAnsiTheme="minorHAnsi"/>
          <w:sz w:val="24"/>
          <w:szCs w:val="24"/>
        </w:rPr>
        <w:instrText xml:space="preserve"> ADDIN EN.CITE &lt;EndNote&gt;&lt;Cite&gt;&lt;RecNum&gt;9&lt;/RecNum&gt;&lt;DisplayText&gt;[6]&lt;/DisplayText&gt;&lt;record&gt;&lt;rec-number&gt;9&lt;/rec-number&gt;&lt;foreign-keys&gt;&lt;key app="EN" db-id="p20z9pv99fpf26effrkppwd19tzvsxa9tdvx" timestamp="1415986160"&gt;9&lt;/key&gt;&lt;/foreign-keys&gt;&lt;ref-type name="Web Page"&gt;12&lt;/ref-type&gt;&lt;contributors&gt;&lt;/contributors&gt;&lt;titles&gt;&lt;title&gt;Testing Recommendations for Hepatitis C Virus Infection&lt;/title&gt;&lt;/titles&gt;&lt;volume&gt;2014&lt;/volume&gt;&lt;number&gt;November 14&lt;/number&gt;&lt;dates&gt;&lt;pub-dates&gt;&lt;date&gt;June 25, 2014&lt;/date&gt;&lt;/pub-dates&gt;&lt;/dates&gt;&lt;pub-location&gt;Atlanta, GA&lt;/pub-location&gt;&lt;publisher&gt;Centers for Disease Control and Prevention&lt;/publisher&gt;&lt;urls&gt;&lt;related-urls&gt;&lt;url&gt;http://www.cdc.gov/hepatitis/HCV/GuidelinesC.htm&lt;/url&gt;&lt;/related-urls&gt;&lt;/urls&gt;&lt;custom1&gt;2014&lt;/custom1&gt;&lt;custom2&gt;November 14&lt;/custom2&gt;&lt;access-date&gt;November 14, 2014&lt;/access-date&gt;&lt;/record&gt;&lt;/Cite&gt;&lt;/EndNote&gt;</w:instrText>
      </w:r>
      <w:r w:rsidRPr="001E5554">
        <w:rPr>
          <w:rFonts w:asciiTheme="minorHAnsi" w:hAnsiTheme="minorHAnsi"/>
          <w:sz w:val="24"/>
          <w:szCs w:val="24"/>
        </w:rPr>
        <w:fldChar w:fldCharType="separate"/>
      </w:r>
      <w:r w:rsidRPr="001E5554">
        <w:rPr>
          <w:rFonts w:asciiTheme="minorHAnsi" w:hAnsiTheme="minorHAnsi"/>
          <w:noProof/>
          <w:sz w:val="24"/>
          <w:szCs w:val="24"/>
        </w:rPr>
        <w:t>[6]</w:t>
      </w:r>
      <w:r w:rsidRPr="001E5554">
        <w:rPr>
          <w:rFonts w:asciiTheme="minorHAnsi" w:hAnsiTheme="minorHAnsi"/>
          <w:sz w:val="24"/>
          <w:szCs w:val="24"/>
        </w:rPr>
        <w:fldChar w:fldCharType="end"/>
      </w:r>
      <w:r w:rsidRPr="001E5554">
        <w:rPr>
          <w:rFonts w:asciiTheme="minorHAnsi" w:hAnsiTheme="minorHAnsi"/>
          <w:sz w:val="24"/>
          <w:szCs w:val="24"/>
        </w:rPr>
        <w:t xml:space="preserve"> The following patients should be routinely screened for HCV infection: </w:t>
      </w:r>
    </w:p>
    <w:p w14:paraId="337AEA6E" w14:textId="77777777" w:rsidR="00504F83" w:rsidRPr="001E5554" w:rsidRDefault="009A362C" w:rsidP="00096185">
      <w:pPr>
        <w:pStyle w:val="ListParagraph"/>
        <w:numPr>
          <w:ilvl w:val="0"/>
          <w:numId w:val="6"/>
        </w:numPr>
        <w:spacing w:before="0" w:after="0" w:line="240" w:lineRule="auto"/>
        <w:jc w:val="both"/>
        <w:rPr>
          <w:rFonts w:asciiTheme="minorHAnsi" w:hAnsiTheme="minorHAnsi"/>
          <w:sz w:val="24"/>
          <w:szCs w:val="24"/>
        </w:rPr>
      </w:pPr>
      <w:r w:rsidRPr="001E5554">
        <w:rPr>
          <w:rFonts w:asciiTheme="minorHAnsi" w:hAnsiTheme="minorHAnsi"/>
          <w:sz w:val="24"/>
          <w:szCs w:val="24"/>
        </w:rPr>
        <w:t>Vietnam Veterans serving between 1964 and 1975</w:t>
      </w:r>
    </w:p>
    <w:p w14:paraId="0F5FBED0" w14:textId="77777777" w:rsidR="00504F83" w:rsidRPr="001E5554" w:rsidRDefault="009A362C" w:rsidP="00096185">
      <w:pPr>
        <w:pStyle w:val="ListParagraph"/>
        <w:numPr>
          <w:ilvl w:val="0"/>
          <w:numId w:val="6"/>
        </w:numPr>
        <w:spacing w:before="0" w:after="0" w:line="240" w:lineRule="auto"/>
        <w:jc w:val="both"/>
        <w:rPr>
          <w:rFonts w:asciiTheme="minorHAnsi" w:hAnsiTheme="minorHAnsi"/>
          <w:sz w:val="24"/>
          <w:szCs w:val="24"/>
        </w:rPr>
      </w:pPr>
      <w:r w:rsidRPr="001E5554">
        <w:rPr>
          <w:rFonts w:asciiTheme="minorHAnsi" w:hAnsiTheme="minorHAnsi"/>
          <w:sz w:val="24"/>
          <w:szCs w:val="24"/>
        </w:rPr>
        <w:t>HIV-positive individuals</w:t>
      </w:r>
    </w:p>
    <w:p w14:paraId="3C9C8274" w14:textId="77777777" w:rsidR="00504F83" w:rsidRPr="001E5554" w:rsidRDefault="00504F83" w:rsidP="00096185">
      <w:pPr>
        <w:pStyle w:val="ListParagraph"/>
        <w:numPr>
          <w:ilvl w:val="0"/>
          <w:numId w:val="6"/>
        </w:numPr>
        <w:spacing w:before="0" w:after="0" w:line="240" w:lineRule="auto"/>
        <w:jc w:val="both"/>
        <w:rPr>
          <w:rFonts w:asciiTheme="minorHAnsi" w:hAnsiTheme="minorHAnsi"/>
          <w:sz w:val="24"/>
          <w:szCs w:val="24"/>
        </w:rPr>
      </w:pPr>
      <w:r w:rsidRPr="001E5554">
        <w:rPr>
          <w:rFonts w:asciiTheme="minorHAnsi" w:hAnsiTheme="minorHAnsi"/>
          <w:sz w:val="24"/>
          <w:szCs w:val="24"/>
        </w:rPr>
        <w:t>P</w:t>
      </w:r>
      <w:r w:rsidR="009A362C" w:rsidRPr="001E5554">
        <w:rPr>
          <w:rFonts w:asciiTheme="minorHAnsi" w:hAnsiTheme="minorHAnsi"/>
          <w:sz w:val="24"/>
          <w:szCs w:val="24"/>
        </w:rPr>
        <w:t>atients who have ever injected illicit drugs, including those who injected drugs just once or a few times many years ago</w:t>
      </w:r>
    </w:p>
    <w:p w14:paraId="1378EA70" w14:textId="77777777" w:rsidR="00504F83" w:rsidRPr="001E5554" w:rsidRDefault="009A362C" w:rsidP="00096185">
      <w:pPr>
        <w:pStyle w:val="ListParagraph"/>
        <w:numPr>
          <w:ilvl w:val="0"/>
          <w:numId w:val="6"/>
        </w:numPr>
        <w:spacing w:before="0" w:after="0" w:line="240" w:lineRule="auto"/>
        <w:jc w:val="both"/>
        <w:rPr>
          <w:rFonts w:asciiTheme="minorHAnsi" w:hAnsiTheme="minorHAnsi"/>
          <w:sz w:val="24"/>
          <w:szCs w:val="24"/>
        </w:rPr>
      </w:pPr>
      <w:r w:rsidRPr="001E5554">
        <w:rPr>
          <w:rFonts w:asciiTheme="minorHAnsi" w:hAnsiTheme="minorHAnsi"/>
          <w:sz w:val="24"/>
          <w:szCs w:val="24"/>
        </w:rPr>
        <w:t>Patients with certain medical conditions, such as those with hemophilia with receipt of clotting factor concentrates before 1987, those with a current or history of long-term hemodialysis, and those with persistently abnormal alanine aminotransferase levels</w:t>
      </w:r>
    </w:p>
    <w:p w14:paraId="11ED610A" w14:textId="77777777" w:rsidR="00504F83" w:rsidRPr="001E5554" w:rsidRDefault="009A362C" w:rsidP="00096185">
      <w:pPr>
        <w:pStyle w:val="ListParagraph"/>
        <w:numPr>
          <w:ilvl w:val="0"/>
          <w:numId w:val="6"/>
        </w:numPr>
        <w:spacing w:before="0" w:after="0" w:line="240" w:lineRule="auto"/>
        <w:jc w:val="both"/>
        <w:rPr>
          <w:rFonts w:asciiTheme="minorHAnsi" w:hAnsiTheme="minorHAnsi"/>
          <w:sz w:val="24"/>
          <w:szCs w:val="24"/>
        </w:rPr>
      </w:pPr>
      <w:r w:rsidRPr="001E5554">
        <w:rPr>
          <w:rFonts w:asciiTheme="minorHAnsi" w:hAnsiTheme="minorHAnsi"/>
          <w:sz w:val="24"/>
          <w:szCs w:val="24"/>
        </w:rPr>
        <w:t>Patients who received a transfusion or organ transplant before July 1992 or received blood from a donor who later tested HCV-positive</w:t>
      </w:r>
    </w:p>
    <w:p w14:paraId="60E20779" w14:textId="305F5EC6" w:rsidR="006C4BC4" w:rsidRPr="00096185" w:rsidRDefault="009A362C" w:rsidP="00096185">
      <w:pPr>
        <w:pStyle w:val="ListParagraph"/>
        <w:numPr>
          <w:ilvl w:val="0"/>
          <w:numId w:val="6"/>
        </w:numPr>
        <w:spacing w:before="0" w:after="0" w:line="240" w:lineRule="auto"/>
        <w:jc w:val="both"/>
        <w:rPr>
          <w:rFonts w:asciiTheme="minorHAnsi" w:hAnsiTheme="minorHAnsi"/>
          <w:sz w:val="24"/>
          <w:szCs w:val="24"/>
        </w:rPr>
      </w:pPr>
      <w:r w:rsidRPr="001E5554">
        <w:rPr>
          <w:rFonts w:asciiTheme="minorHAnsi" w:hAnsiTheme="minorHAnsi"/>
          <w:sz w:val="24"/>
          <w:szCs w:val="24"/>
        </w:rPr>
        <w:t>Patients with recognized exposure, for example, health care workers exposed after needle sticks, sharps or mucosal exposures to HCV-positive blood, and children born to HCV-positive mothers</w:t>
      </w:r>
      <w:r w:rsidR="00595919">
        <w:rPr>
          <w:rFonts w:asciiTheme="minorHAnsi" w:hAnsiTheme="minorHAnsi"/>
          <w:sz w:val="24"/>
          <w:szCs w:val="24"/>
        </w:rPr>
        <w:t xml:space="preserve"> at 18 months of age or older</w:t>
      </w:r>
    </w:p>
    <w:p w14:paraId="63C871FE" w14:textId="77777777" w:rsidR="00D12E99" w:rsidRPr="001E5554" w:rsidRDefault="00D12E99" w:rsidP="00375A69">
      <w:pPr>
        <w:pStyle w:val="Heading2"/>
        <w:rPr>
          <w:rFonts w:asciiTheme="minorHAnsi" w:hAnsiTheme="minorHAnsi"/>
          <w:caps w:val="0"/>
          <w:sz w:val="24"/>
          <w:szCs w:val="24"/>
        </w:rPr>
      </w:pPr>
      <w:r w:rsidRPr="001E5554">
        <w:rPr>
          <w:rFonts w:asciiTheme="minorHAnsi" w:hAnsiTheme="minorHAnsi"/>
          <w:sz w:val="24"/>
          <w:szCs w:val="24"/>
        </w:rPr>
        <w:lastRenderedPageBreak/>
        <w:t>Resources</w:t>
      </w:r>
      <w:r w:rsidRPr="001E5554">
        <w:rPr>
          <w:rFonts w:asciiTheme="minorHAnsi" w:hAnsiTheme="minorHAnsi"/>
          <w:caps w:val="0"/>
          <w:sz w:val="24"/>
          <w:szCs w:val="24"/>
        </w:rPr>
        <w:t xml:space="preserve">  </w:t>
      </w:r>
    </w:p>
    <w:p w14:paraId="1BC9F88A" w14:textId="77777777" w:rsidR="00D12E99" w:rsidRPr="001E5554" w:rsidRDefault="00D12E99" w:rsidP="00D12E99">
      <w:pPr>
        <w:rPr>
          <w:rFonts w:asciiTheme="minorHAnsi" w:hAnsiTheme="minorHAnsi"/>
          <w:sz w:val="24"/>
          <w:szCs w:val="24"/>
        </w:rPr>
      </w:pPr>
      <w:r w:rsidRPr="001E5554">
        <w:rPr>
          <w:rFonts w:asciiTheme="minorHAnsi" w:hAnsiTheme="minorHAnsi"/>
          <w:sz w:val="24"/>
          <w:szCs w:val="24"/>
        </w:rPr>
        <w:t>National guidelines support the following recommendations. Each recommendation is referenced to an online resource.</w:t>
      </w:r>
    </w:p>
    <w:p w14:paraId="2E5099C1" w14:textId="3DB6DDF7" w:rsidR="00D12E99" w:rsidRPr="001E5554" w:rsidRDefault="000853F8" w:rsidP="00D972C5">
      <w:pPr>
        <w:pStyle w:val="Heading2"/>
        <w:rPr>
          <w:rFonts w:asciiTheme="minorHAnsi" w:hAnsiTheme="minorHAnsi"/>
          <w:caps w:val="0"/>
          <w:sz w:val="24"/>
          <w:szCs w:val="24"/>
        </w:rPr>
      </w:pPr>
      <w:r w:rsidRPr="001E5554">
        <w:rPr>
          <w:rFonts w:asciiTheme="minorHAnsi" w:hAnsiTheme="minorHAnsi"/>
          <w:caps w:val="0"/>
          <w:sz w:val="24"/>
          <w:szCs w:val="24"/>
        </w:rPr>
        <w:t>HCV SCREENING</w:t>
      </w:r>
    </w:p>
    <w:p w14:paraId="1F4CAB48" w14:textId="77777777" w:rsidR="000853F8" w:rsidRPr="001E5554" w:rsidRDefault="000853F8" w:rsidP="000853F8">
      <w:pPr>
        <w:pStyle w:val="Heading3"/>
        <w:rPr>
          <w:rFonts w:asciiTheme="minorHAnsi" w:hAnsiTheme="minorHAnsi"/>
          <w:sz w:val="24"/>
          <w:szCs w:val="24"/>
        </w:rPr>
      </w:pPr>
      <w:bookmarkStart w:id="0" w:name="_Toc325178137"/>
      <w:r w:rsidRPr="001E5554">
        <w:rPr>
          <w:rFonts w:asciiTheme="minorHAnsi" w:hAnsiTheme="minorHAnsi"/>
          <w:sz w:val="24"/>
          <w:szCs w:val="24"/>
        </w:rPr>
        <w:t>Screen for HCV-infected patients</w:t>
      </w:r>
      <w:bookmarkEnd w:id="0"/>
    </w:p>
    <w:p w14:paraId="5B53A938" w14:textId="77777777" w:rsidR="000853F8" w:rsidRPr="001E5554" w:rsidRDefault="000853F8" w:rsidP="000853F8">
      <w:pPr>
        <w:pStyle w:val="ListParagraph"/>
        <w:numPr>
          <w:ilvl w:val="0"/>
          <w:numId w:val="8"/>
        </w:numPr>
        <w:rPr>
          <w:rFonts w:asciiTheme="minorHAnsi" w:hAnsiTheme="minorHAnsi"/>
          <w:sz w:val="24"/>
          <w:szCs w:val="24"/>
        </w:rPr>
      </w:pPr>
      <w:r w:rsidRPr="001E5554">
        <w:rPr>
          <w:rFonts w:asciiTheme="minorHAnsi" w:hAnsiTheme="minorHAnsi"/>
          <w:sz w:val="24"/>
          <w:szCs w:val="24"/>
        </w:rPr>
        <w:t xml:space="preserve">Clinicians should screen the following categories of patients for HCV antibodies: </w:t>
      </w:r>
      <w:r w:rsidRPr="001E5554">
        <w:rPr>
          <w:rFonts w:asciiTheme="minorHAnsi" w:hAnsiTheme="minorHAnsi"/>
          <w:sz w:val="24"/>
          <w:szCs w:val="24"/>
        </w:rPr>
        <w:tab/>
      </w:r>
    </w:p>
    <w:p w14:paraId="338FAECC" w14:textId="2FF9DEC6" w:rsidR="000853F8" w:rsidRPr="001E5554" w:rsidRDefault="000853F8" w:rsidP="000853F8">
      <w:pPr>
        <w:pStyle w:val="ListParagraph"/>
        <w:numPr>
          <w:ilvl w:val="1"/>
          <w:numId w:val="8"/>
        </w:numPr>
        <w:rPr>
          <w:rFonts w:asciiTheme="minorHAnsi" w:hAnsiTheme="minorHAnsi"/>
          <w:sz w:val="24"/>
          <w:szCs w:val="24"/>
        </w:rPr>
      </w:pPr>
      <w:r w:rsidRPr="001E5554">
        <w:rPr>
          <w:rFonts w:asciiTheme="minorHAnsi" w:hAnsiTheme="minorHAnsi"/>
          <w:sz w:val="24"/>
          <w:szCs w:val="24"/>
        </w:rPr>
        <w:t>Patients born</w:t>
      </w:r>
      <w:r w:rsidR="004711BD">
        <w:rPr>
          <w:rFonts w:asciiTheme="minorHAnsi" w:hAnsiTheme="minorHAnsi"/>
          <w:sz w:val="24"/>
          <w:szCs w:val="24"/>
        </w:rPr>
        <w:t xml:space="preserve"> from</w:t>
      </w:r>
      <w:r w:rsidRPr="001E5554">
        <w:rPr>
          <w:rFonts w:asciiTheme="minorHAnsi" w:hAnsiTheme="minorHAnsi"/>
          <w:sz w:val="24"/>
          <w:szCs w:val="24"/>
        </w:rPr>
        <w:t xml:space="preserve"> 1945 </w:t>
      </w:r>
      <w:r w:rsidR="004711BD">
        <w:rPr>
          <w:rFonts w:asciiTheme="minorHAnsi" w:hAnsiTheme="minorHAnsi"/>
          <w:sz w:val="24"/>
          <w:szCs w:val="24"/>
        </w:rPr>
        <w:t>to</w:t>
      </w:r>
      <w:r w:rsidRPr="001E5554">
        <w:rPr>
          <w:rFonts w:asciiTheme="minorHAnsi" w:hAnsiTheme="minorHAnsi"/>
          <w:sz w:val="24"/>
          <w:szCs w:val="24"/>
        </w:rPr>
        <w:t xml:space="preserve"> 1965 (one-time screening)</w:t>
      </w:r>
      <w:r w:rsidR="00F65826">
        <w:rPr>
          <w:rFonts w:asciiTheme="minorHAnsi" w:hAnsiTheme="minorHAnsi"/>
          <w:sz w:val="24"/>
          <w:szCs w:val="24"/>
        </w:rPr>
        <w:t>, wh</w:t>
      </w:r>
      <w:r w:rsidR="008F7742">
        <w:rPr>
          <w:rFonts w:asciiTheme="minorHAnsi" w:hAnsiTheme="minorHAnsi"/>
          <w:sz w:val="24"/>
          <w:szCs w:val="24"/>
        </w:rPr>
        <w:t xml:space="preserve">ich national data has shown constitutes </w:t>
      </w:r>
      <w:r w:rsidR="00F65826">
        <w:rPr>
          <w:rFonts w:asciiTheme="minorHAnsi" w:hAnsiTheme="minorHAnsi"/>
          <w:sz w:val="24"/>
          <w:szCs w:val="24"/>
        </w:rPr>
        <w:t xml:space="preserve">75% of reported </w:t>
      </w:r>
      <w:r w:rsidR="008F7742">
        <w:rPr>
          <w:rFonts w:asciiTheme="minorHAnsi" w:hAnsiTheme="minorHAnsi"/>
          <w:sz w:val="24"/>
          <w:szCs w:val="24"/>
        </w:rPr>
        <w:t xml:space="preserve">cases </w:t>
      </w:r>
      <w:r w:rsidR="00F65826">
        <w:rPr>
          <w:rFonts w:asciiTheme="minorHAnsi" w:hAnsiTheme="minorHAnsi"/>
          <w:sz w:val="24"/>
          <w:szCs w:val="24"/>
        </w:rPr>
        <w:t>[5].   Additional age ranges may be included in this screening where local data suggests an elevated HCV burden may exist.</w:t>
      </w:r>
      <w:r w:rsidRPr="001E5554">
        <w:rPr>
          <w:rFonts w:asciiTheme="minorHAnsi" w:hAnsiTheme="minorHAnsi"/>
          <w:sz w:val="24"/>
          <w:szCs w:val="24"/>
        </w:rPr>
        <w:t xml:space="preserve"> </w:t>
      </w:r>
    </w:p>
    <w:p w14:paraId="2A319FB4" w14:textId="77777777" w:rsidR="000853F8" w:rsidRPr="001E5554" w:rsidRDefault="000853F8" w:rsidP="000853F8">
      <w:pPr>
        <w:pStyle w:val="ListParagraph"/>
        <w:numPr>
          <w:ilvl w:val="1"/>
          <w:numId w:val="8"/>
        </w:numPr>
        <w:rPr>
          <w:rFonts w:asciiTheme="minorHAnsi" w:hAnsiTheme="minorHAnsi"/>
          <w:sz w:val="24"/>
          <w:szCs w:val="24"/>
        </w:rPr>
      </w:pPr>
      <w:r w:rsidRPr="001E5554">
        <w:rPr>
          <w:rFonts w:asciiTheme="minorHAnsi" w:hAnsiTheme="minorHAnsi"/>
          <w:sz w:val="24"/>
          <w:szCs w:val="24"/>
        </w:rPr>
        <w:t>Patients determined as high-risk (routine screening unless otherwise noted):</w:t>
      </w:r>
    </w:p>
    <w:p w14:paraId="4CC87CD4" w14:textId="77777777" w:rsidR="000853F8" w:rsidRPr="001E5554" w:rsidRDefault="000853F8" w:rsidP="000853F8">
      <w:pPr>
        <w:pStyle w:val="ListParagraph"/>
        <w:numPr>
          <w:ilvl w:val="2"/>
          <w:numId w:val="8"/>
        </w:numPr>
        <w:rPr>
          <w:rFonts w:asciiTheme="minorHAnsi" w:hAnsiTheme="minorHAnsi"/>
          <w:sz w:val="24"/>
          <w:szCs w:val="24"/>
        </w:rPr>
      </w:pPr>
      <w:r w:rsidRPr="001E5554">
        <w:rPr>
          <w:rFonts w:asciiTheme="minorHAnsi" w:hAnsiTheme="minorHAnsi"/>
          <w:sz w:val="24"/>
          <w:szCs w:val="24"/>
        </w:rPr>
        <w:t>Vietnam Veterans serving between 1964 and 1975</w:t>
      </w:r>
    </w:p>
    <w:p w14:paraId="4269B2F2" w14:textId="77777777" w:rsidR="000853F8" w:rsidRPr="001E5554" w:rsidRDefault="000853F8" w:rsidP="000853F8">
      <w:pPr>
        <w:pStyle w:val="ListParagraph"/>
        <w:numPr>
          <w:ilvl w:val="2"/>
          <w:numId w:val="8"/>
        </w:numPr>
        <w:rPr>
          <w:rFonts w:asciiTheme="minorHAnsi" w:hAnsiTheme="minorHAnsi"/>
          <w:sz w:val="24"/>
          <w:szCs w:val="24"/>
        </w:rPr>
      </w:pPr>
      <w:r w:rsidRPr="001E5554">
        <w:rPr>
          <w:rFonts w:asciiTheme="minorHAnsi" w:hAnsiTheme="minorHAnsi"/>
          <w:sz w:val="24"/>
          <w:szCs w:val="24"/>
        </w:rPr>
        <w:t>HIV-positive individuals (at least annual screening for HIV-positive men who have sex with men)</w:t>
      </w:r>
    </w:p>
    <w:p w14:paraId="6C02D743" w14:textId="77777777" w:rsidR="000853F8" w:rsidRPr="001E5554" w:rsidRDefault="000853F8" w:rsidP="000853F8">
      <w:pPr>
        <w:pStyle w:val="ListParagraph"/>
        <w:numPr>
          <w:ilvl w:val="2"/>
          <w:numId w:val="8"/>
        </w:numPr>
        <w:rPr>
          <w:rFonts w:asciiTheme="minorHAnsi" w:hAnsiTheme="minorHAnsi"/>
          <w:sz w:val="24"/>
          <w:szCs w:val="24"/>
        </w:rPr>
      </w:pPr>
      <w:r w:rsidRPr="001E5554">
        <w:rPr>
          <w:rFonts w:asciiTheme="minorHAnsi" w:hAnsiTheme="minorHAnsi"/>
          <w:sz w:val="24"/>
          <w:szCs w:val="24"/>
        </w:rPr>
        <w:t>Patients who have ever injected illicit drugs, including those who injected drugs just once or a few times many years ago (at least annual screening for current injection drug users)</w:t>
      </w:r>
    </w:p>
    <w:p w14:paraId="44090E04" w14:textId="77777777" w:rsidR="000853F8" w:rsidRPr="001E5554" w:rsidRDefault="000853F8" w:rsidP="000853F8">
      <w:pPr>
        <w:pStyle w:val="ListParagraph"/>
        <w:numPr>
          <w:ilvl w:val="2"/>
          <w:numId w:val="8"/>
        </w:numPr>
        <w:rPr>
          <w:rFonts w:asciiTheme="minorHAnsi" w:hAnsiTheme="minorHAnsi"/>
          <w:sz w:val="24"/>
          <w:szCs w:val="24"/>
        </w:rPr>
      </w:pPr>
      <w:r w:rsidRPr="001E5554">
        <w:rPr>
          <w:rFonts w:asciiTheme="minorHAnsi" w:hAnsiTheme="minorHAnsi"/>
          <w:sz w:val="24"/>
          <w:szCs w:val="24"/>
        </w:rPr>
        <w:t>Patients with certain medical conditions, such as those with hemophilia with receipt of clotting factor concentrates before 1987, those with a current or history of long-term hemodialysis, and those with persistently abnormal alanine aminotransferase levels</w:t>
      </w:r>
    </w:p>
    <w:p w14:paraId="2A6B7FDA" w14:textId="77777777" w:rsidR="000853F8" w:rsidRPr="001E5554" w:rsidRDefault="000853F8" w:rsidP="000853F8">
      <w:pPr>
        <w:pStyle w:val="ListParagraph"/>
        <w:numPr>
          <w:ilvl w:val="2"/>
          <w:numId w:val="8"/>
        </w:numPr>
        <w:rPr>
          <w:rFonts w:asciiTheme="minorHAnsi" w:hAnsiTheme="minorHAnsi"/>
          <w:sz w:val="24"/>
          <w:szCs w:val="24"/>
        </w:rPr>
      </w:pPr>
      <w:r w:rsidRPr="001E5554">
        <w:rPr>
          <w:rFonts w:asciiTheme="minorHAnsi" w:hAnsiTheme="minorHAnsi"/>
          <w:sz w:val="24"/>
          <w:szCs w:val="24"/>
        </w:rPr>
        <w:t>Patients who received a transfusion or organ transplant before July 1992 or received blood from a donor who later tested HCV-positive</w:t>
      </w:r>
    </w:p>
    <w:p w14:paraId="7914A436" w14:textId="77777777" w:rsidR="000853F8" w:rsidRPr="001E5554" w:rsidRDefault="000853F8" w:rsidP="000853F8">
      <w:pPr>
        <w:pStyle w:val="ListParagraph"/>
        <w:numPr>
          <w:ilvl w:val="2"/>
          <w:numId w:val="8"/>
        </w:numPr>
        <w:rPr>
          <w:rFonts w:asciiTheme="minorHAnsi" w:hAnsiTheme="minorHAnsi"/>
          <w:sz w:val="24"/>
          <w:szCs w:val="24"/>
        </w:rPr>
      </w:pPr>
      <w:r w:rsidRPr="001E5554">
        <w:rPr>
          <w:rFonts w:asciiTheme="minorHAnsi" w:hAnsiTheme="minorHAnsi"/>
          <w:sz w:val="24"/>
          <w:szCs w:val="24"/>
        </w:rPr>
        <w:t>Patients with recognized exposure, for example, health care workers exposed after needle sticks, sharps or mucosal exposures to HCV-positive blood, and children born to HCV-positive mothers</w:t>
      </w:r>
    </w:p>
    <w:p w14:paraId="27EC998A" w14:textId="77777777" w:rsidR="000853F8" w:rsidRPr="001E5554" w:rsidRDefault="000853F8" w:rsidP="000853F8">
      <w:pPr>
        <w:pStyle w:val="Heading3"/>
        <w:rPr>
          <w:rFonts w:asciiTheme="minorHAnsi" w:hAnsiTheme="minorHAnsi"/>
          <w:sz w:val="24"/>
          <w:szCs w:val="24"/>
        </w:rPr>
      </w:pPr>
      <w:bookmarkStart w:id="1" w:name="_Toc325178138"/>
      <w:r w:rsidRPr="001E5554">
        <w:rPr>
          <w:rFonts w:asciiTheme="minorHAnsi" w:hAnsiTheme="minorHAnsi"/>
          <w:sz w:val="24"/>
          <w:szCs w:val="24"/>
        </w:rPr>
        <w:t>Test for HCV antibodies</w:t>
      </w:r>
      <w:bookmarkEnd w:id="1"/>
    </w:p>
    <w:p w14:paraId="3ACB0898" w14:textId="34155B4B" w:rsidR="000853F8" w:rsidRPr="001E5554" w:rsidRDefault="000853F8" w:rsidP="000853F8">
      <w:pPr>
        <w:pStyle w:val="ListParagraph"/>
        <w:numPr>
          <w:ilvl w:val="0"/>
          <w:numId w:val="7"/>
        </w:numPr>
        <w:rPr>
          <w:rFonts w:asciiTheme="minorHAnsi" w:hAnsiTheme="minorHAnsi"/>
          <w:sz w:val="24"/>
          <w:szCs w:val="24"/>
        </w:rPr>
      </w:pPr>
      <w:r w:rsidRPr="001E5554">
        <w:rPr>
          <w:rFonts w:asciiTheme="minorHAnsi" w:hAnsiTheme="minorHAnsi"/>
          <w:sz w:val="24"/>
          <w:szCs w:val="24"/>
        </w:rPr>
        <w:t xml:space="preserve">Clinicians should screen for HCV in patients identified as belonging to the above categories using immunoassays, such as the </w:t>
      </w:r>
      <w:proofErr w:type="spellStart"/>
      <w:r w:rsidRPr="001E5554">
        <w:rPr>
          <w:rFonts w:asciiTheme="minorHAnsi" w:hAnsiTheme="minorHAnsi"/>
          <w:sz w:val="24"/>
          <w:szCs w:val="24"/>
        </w:rPr>
        <w:t>OraQuick</w:t>
      </w:r>
      <w:proofErr w:type="spellEnd"/>
      <w:r w:rsidRPr="001E5554">
        <w:rPr>
          <w:rFonts w:asciiTheme="minorHAnsi" w:hAnsiTheme="minorHAnsi"/>
          <w:sz w:val="24"/>
          <w:szCs w:val="24"/>
        </w:rPr>
        <w:t xml:space="preserve"> HCV Rapid Antibody Test (</w:t>
      </w:r>
      <w:proofErr w:type="spellStart"/>
      <w:r w:rsidRPr="001E5554">
        <w:rPr>
          <w:rFonts w:asciiTheme="minorHAnsi" w:hAnsiTheme="minorHAnsi"/>
          <w:sz w:val="24"/>
          <w:szCs w:val="24"/>
        </w:rPr>
        <w:t>OraSure</w:t>
      </w:r>
      <w:proofErr w:type="spellEnd"/>
      <w:r w:rsidRPr="001E5554">
        <w:rPr>
          <w:rFonts w:asciiTheme="minorHAnsi" w:hAnsiTheme="minorHAnsi"/>
          <w:sz w:val="24"/>
          <w:szCs w:val="24"/>
        </w:rPr>
        <w:t xml:space="preserve"> Technologies) or an FDA-approved, laboratory-conducted HCV antibody assay</w:t>
      </w:r>
      <w:r w:rsidR="00515462">
        <w:rPr>
          <w:rFonts w:asciiTheme="minorHAnsi" w:hAnsiTheme="minorHAnsi"/>
          <w:sz w:val="24"/>
          <w:szCs w:val="24"/>
        </w:rPr>
        <w:t xml:space="preserve"> [7]</w:t>
      </w:r>
      <w:r w:rsidRPr="001E5554">
        <w:rPr>
          <w:rFonts w:asciiTheme="minorHAnsi" w:hAnsiTheme="minorHAnsi"/>
          <w:sz w:val="24"/>
          <w:szCs w:val="24"/>
        </w:rPr>
        <w:t xml:space="preserve">. The best assay for this purpose is a HCV antibody test with reflex </w:t>
      </w:r>
      <w:r w:rsidR="0062044D">
        <w:rPr>
          <w:rFonts w:asciiTheme="minorHAnsi" w:hAnsiTheme="minorHAnsi"/>
          <w:sz w:val="24"/>
          <w:szCs w:val="24"/>
        </w:rPr>
        <w:t>ribonucleic (RNA) confirmation.</w:t>
      </w:r>
    </w:p>
    <w:p w14:paraId="004B73DD" w14:textId="1011DB00" w:rsidR="000853F8" w:rsidRPr="001E5554" w:rsidRDefault="000853F8" w:rsidP="000853F8">
      <w:pPr>
        <w:pStyle w:val="Heading3"/>
        <w:spacing w:before="0"/>
        <w:rPr>
          <w:rFonts w:asciiTheme="minorHAnsi" w:hAnsiTheme="minorHAnsi"/>
          <w:sz w:val="24"/>
          <w:szCs w:val="24"/>
        </w:rPr>
      </w:pPr>
      <w:bookmarkStart w:id="2" w:name="_Toc325178139"/>
      <w:r w:rsidRPr="001E5554">
        <w:rPr>
          <w:rFonts w:asciiTheme="minorHAnsi" w:hAnsiTheme="minorHAnsi"/>
          <w:sz w:val="24"/>
          <w:szCs w:val="24"/>
        </w:rPr>
        <w:lastRenderedPageBreak/>
        <w:t xml:space="preserve">Test for </w:t>
      </w:r>
      <w:r w:rsidR="00861385">
        <w:rPr>
          <w:rFonts w:asciiTheme="minorHAnsi" w:hAnsiTheme="minorHAnsi"/>
          <w:sz w:val="24"/>
          <w:szCs w:val="24"/>
        </w:rPr>
        <w:t>HCV</w:t>
      </w:r>
      <w:r w:rsidR="00861385" w:rsidRPr="001E5554">
        <w:rPr>
          <w:rFonts w:asciiTheme="minorHAnsi" w:hAnsiTheme="minorHAnsi"/>
          <w:sz w:val="24"/>
          <w:szCs w:val="24"/>
        </w:rPr>
        <w:t xml:space="preserve"> </w:t>
      </w:r>
      <w:r w:rsidRPr="001E5554">
        <w:rPr>
          <w:rFonts w:asciiTheme="minorHAnsi" w:hAnsiTheme="minorHAnsi"/>
          <w:sz w:val="24"/>
          <w:szCs w:val="24"/>
        </w:rPr>
        <w:t>RNA and determine viral load</w:t>
      </w:r>
      <w:bookmarkEnd w:id="2"/>
    </w:p>
    <w:p w14:paraId="69A88893" w14:textId="77777777" w:rsidR="000853F8" w:rsidRPr="001E5554" w:rsidRDefault="000853F8" w:rsidP="000853F8">
      <w:pPr>
        <w:pStyle w:val="ListParagraph"/>
        <w:numPr>
          <w:ilvl w:val="0"/>
          <w:numId w:val="10"/>
        </w:numPr>
        <w:rPr>
          <w:rFonts w:asciiTheme="minorHAnsi" w:hAnsiTheme="minorHAnsi"/>
          <w:sz w:val="24"/>
          <w:szCs w:val="24"/>
        </w:rPr>
      </w:pPr>
      <w:r w:rsidRPr="001E5554">
        <w:rPr>
          <w:rFonts w:asciiTheme="minorHAnsi" w:hAnsiTheme="minorHAnsi"/>
          <w:sz w:val="24"/>
          <w:szCs w:val="24"/>
        </w:rPr>
        <w:t>Clinicians should perform Nucleic Acid Testing (NAT) for patients with reactive immunoassays (and for patients with non-reactive immunoassays if patients are immunocompromised or have been recently exposed to HCV).</w:t>
      </w:r>
    </w:p>
    <w:p w14:paraId="018C5E74" w14:textId="77777777" w:rsidR="000853F8" w:rsidRPr="001E5554" w:rsidRDefault="000853F8" w:rsidP="000853F8">
      <w:pPr>
        <w:pStyle w:val="ListParagraph"/>
        <w:numPr>
          <w:ilvl w:val="0"/>
          <w:numId w:val="10"/>
        </w:numPr>
        <w:rPr>
          <w:rFonts w:asciiTheme="minorHAnsi" w:hAnsiTheme="minorHAnsi"/>
          <w:sz w:val="24"/>
          <w:szCs w:val="24"/>
        </w:rPr>
      </w:pPr>
      <w:r w:rsidRPr="001E5554">
        <w:rPr>
          <w:rFonts w:asciiTheme="minorHAnsi" w:hAnsiTheme="minorHAnsi"/>
          <w:sz w:val="24"/>
          <w:szCs w:val="24"/>
        </w:rPr>
        <w:t>Clinicians should consider a reactive immunoassay and a negative NAT result to signify a false positive serology or the patient having cleared infection. Clinicians should link patients with a positive NAT result to care; Clinicians should not repeat NAT for patients with a negative NAT result unless patients have been exposed to HCV within the past 6 months, patients present with clinical evidence of disease, or specimens have been mishandled or improperly stored.</w:t>
      </w:r>
    </w:p>
    <w:p w14:paraId="01102AFD" w14:textId="77777777" w:rsidR="000853F8" w:rsidRPr="001E5554" w:rsidRDefault="000853F8" w:rsidP="000853F8">
      <w:pPr>
        <w:pStyle w:val="ListParagraph"/>
        <w:numPr>
          <w:ilvl w:val="0"/>
          <w:numId w:val="10"/>
        </w:numPr>
        <w:rPr>
          <w:rFonts w:asciiTheme="minorHAnsi" w:hAnsiTheme="minorHAnsi"/>
          <w:sz w:val="24"/>
          <w:szCs w:val="24"/>
        </w:rPr>
      </w:pPr>
      <w:r w:rsidRPr="001E5554">
        <w:rPr>
          <w:rFonts w:asciiTheme="minorHAnsi" w:hAnsiTheme="minorHAnsi"/>
          <w:sz w:val="24"/>
          <w:szCs w:val="24"/>
        </w:rPr>
        <w:t>Clinicians should determine a quantitative HCV RNA viral load to provide baseline markers to determine treatment progress.</w:t>
      </w:r>
    </w:p>
    <w:p w14:paraId="644DCAC8" w14:textId="5E601365" w:rsidR="000853F8" w:rsidRPr="001E5554" w:rsidRDefault="000853F8" w:rsidP="000853F8">
      <w:pPr>
        <w:pStyle w:val="ListParagraph"/>
        <w:numPr>
          <w:ilvl w:val="0"/>
          <w:numId w:val="10"/>
        </w:numPr>
        <w:rPr>
          <w:rFonts w:asciiTheme="minorHAnsi" w:hAnsiTheme="minorHAnsi"/>
          <w:sz w:val="24"/>
          <w:szCs w:val="24"/>
        </w:rPr>
      </w:pPr>
      <w:r w:rsidRPr="001E5554">
        <w:rPr>
          <w:rFonts w:asciiTheme="minorHAnsi" w:hAnsiTheme="minorHAnsi"/>
          <w:sz w:val="24"/>
          <w:szCs w:val="24"/>
        </w:rPr>
        <w:t>Patients who are positive for HCV+</w:t>
      </w:r>
      <w:r w:rsidR="00F65826">
        <w:rPr>
          <w:rFonts w:asciiTheme="minorHAnsi" w:hAnsiTheme="minorHAnsi"/>
          <w:sz w:val="24"/>
          <w:szCs w:val="24"/>
        </w:rPr>
        <w:t xml:space="preserve"> </w:t>
      </w:r>
      <w:r w:rsidRPr="001E5554">
        <w:rPr>
          <w:rFonts w:asciiTheme="minorHAnsi" w:hAnsiTheme="minorHAnsi"/>
          <w:sz w:val="24"/>
          <w:szCs w:val="24"/>
        </w:rPr>
        <w:t>Ab but HCV RNA negative may have spontaneously cleared the virus.  This occurs in an estimated 15%-25% of HCV exposed individuals.  Such patients need no further follow up for HCV (except counseling on risk behaviors as appropriate) and will test positive for HCV Ab+ during their lifetimes.  Consequently, any subsequent testing for HCV in this population subset should immediately include RNA testing.</w:t>
      </w:r>
    </w:p>
    <w:p w14:paraId="176939B4" w14:textId="523B6C0E" w:rsidR="000853F8" w:rsidRPr="001E5554" w:rsidRDefault="000853F8" w:rsidP="000853F8">
      <w:pPr>
        <w:pStyle w:val="Heading3"/>
        <w:rPr>
          <w:rFonts w:asciiTheme="minorHAnsi" w:hAnsiTheme="minorHAnsi"/>
          <w:sz w:val="24"/>
          <w:szCs w:val="24"/>
        </w:rPr>
      </w:pPr>
      <w:bookmarkStart w:id="3" w:name="_Toc325178140"/>
      <w:r w:rsidRPr="001E5554">
        <w:rPr>
          <w:rFonts w:asciiTheme="minorHAnsi" w:hAnsiTheme="minorHAnsi"/>
          <w:sz w:val="24"/>
          <w:szCs w:val="24"/>
        </w:rPr>
        <w:t xml:space="preserve">Perform laboratory </w:t>
      </w:r>
      <w:bookmarkEnd w:id="3"/>
      <w:r w:rsidR="00861385">
        <w:rPr>
          <w:rFonts w:asciiTheme="minorHAnsi" w:hAnsiTheme="minorHAnsi"/>
          <w:sz w:val="24"/>
          <w:szCs w:val="24"/>
        </w:rPr>
        <w:t>e</w:t>
      </w:r>
      <w:r w:rsidR="00861385" w:rsidRPr="001E5554">
        <w:rPr>
          <w:rFonts w:asciiTheme="minorHAnsi" w:hAnsiTheme="minorHAnsi"/>
          <w:sz w:val="24"/>
          <w:szCs w:val="24"/>
        </w:rPr>
        <w:t>valuation</w:t>
      </w:r>
    </w:p>
    <w:p w14:paraId="3AD76DDB" w14:textId="77777777" w:rsidR="000853F8" w:rsidRPr="001E5554" w:rsidRDefault="000853F8" w:rsidP="000853F8">
      <w:pPr>
        <w:rPr>
          <w:rFonts w:asciiTheme="minorHAnsi" w:hAnsiTheme="minorHAnsi"/>
          <w:b/>
          <w:sz w:val="24"/>
          <w:szCs w:val="24"/>
        </w:rPr>
      </w:pPr>
      <w:r w:rsidRPr="001E5554">
        <w:rPr>
          <w:rFonts w:asciiTheme="minorHAnsi" w:hAnsiTheme="minorHAnsi"/>
          <w:sz w:val="24"/>
          <w:szCs w:val="24"/>
        </w:rPr>
        <w:t>Upon confirming chronic HCV infection, clinicians should perform the following set of additional laboratory tests (where tests are available):</w:t>
      </w:r>
    </w:p>
    <w:p w14:paraId="759E3EA0" w14:textId="77777777" w:rsidR="000853F8" w:rsidRPr="001E5554" w:rsidRDefault="000853F8" w:rsidP="000853F8">
      <w:pPr>
        <w:pStyle w:val="ListParagraph"/>
        <w:numPr>
          <w:ilvl w:val="0"/>
          <w:numId w:val="9"/>
        </w:numPr>
        <w:rPr>
          <w:rFonts w:asciiTheme="minorHAnsi" w:hAnsiTheme="minorHAnsi"/>
          <w:sz w:val="24"/>
          <w:szCs w:val="24"/>
        </w:rPr>
      </w:pPr>
      <w:r w:rsidRPr="001E5554">
        <w:rPr>
          <w:rFonts w:asciiTheme="minorHAnsi" w:hAnsiTheme="minorHAnsi"/>
          <w:sz w:val="24"/>
          <w:szCs w:val="24"/>
        </w:rPr>
        <w:t>General laboratory evaluation, including complete blood count, platelet count, thyroid function tests, and renal function tests</w:t>
      </w:r>
    </w:p>
    <w:p w14:paraId="52D578AF" w14:textId="77777777" w:rsidR="000853F8" w:rsidRPr="001E5554" w:rsidRDefault="000853F8" w:rsidP="000853F8">
      <w:pPr>
        <w:pStyle w:val="ListParagraph"/>
        <w:numPr>
          <w:ilvl w:val="0"/>
          <w:numId w:val="9"/>
        </w:numPr>
        <w:rPr>
          <w:rFonts w:asciiTheme="minorHAnsi" w:hAnsiTheme="minorHAnsi"/>
          <w:sz w:val="24"/>
          <w:szCs w:val="24"/>
        </w:rPr>
      </w:pPr>
      <w:r w:rsidRPr="001E5554">
        <w:rPr>
          <w:rFonts w:asciiTheme="minorHAnsi" w:hAnsiTheme="minorHAnsi"/>
          <w:sz w:val="24"/>
          <w:szCs w:val="24"/>
        </w:rPr>
        <w:t>Tests to determine hepatic inflammation, such as alanine aminotransferase or aspartate aminotransferase</w:t>
      </w:r>
    </w:p>
    <w:p w14:paraId="6283B574" w14:textId="77777777" w:rsidR="000853F8" w:rsidRPr="001E5554" w:rsidRDefault="000853F8" w:rsidP="000853F8">
      <w:pPr>
        <w:pStyle w:val="ListParagraph"/>
        <w:numPr>
          <w:ilvl w:val="0"/>
          <w:numId w:val="9"/>
        </w:numPr>
        <w:rPr>
          <w:rFonts w:asciiTheme="minorHAnsi" w:hAnsiTheme="minorHAnsi"/>
          <w:sz w:val="24"/>
          <w:szCs w:val="24"/>
        </w:rPr>
      </w:pPr>
      <w:r w:rsidRPr="001E5554">
        <w:rPr>
          <w:rFonts w:asciiTheme="minorHAnsi" w:hAnsiTheme="minorHAnsi"/>
          <w:sz w:val="24"/>
          <w:szCs w:val="24"/>
        </w:rPr>
        <w:t>Tests to determine hepatobiliary disease, such as bilirubin and alkaline phosphatase</w:t>
      </w:r>
    </w:p>
    <w:p w14:paraId="71D501D9" w14:textId="77777777" w:rsidR="000853F8" w:rsidRPr="001E5554" w:rsidRDefault="000853F8" w:rsidP="000853F8">
      <w:pPr>
        <w:pStyle w:val="ListParagraph"/>
        <w:numPr>
          <w:ilvl w:val="0"/>
          <w:numId w:val="9"/>
        </w:numPr>
        <w:rPr>
          <w:rFonts w:asciiTheme="minorHAnsi" w:hAnsiTheme="minorHAnsi"/>
          <w:sz w:val="24"/>
          <w:szCs w:val="24"/>
        </w:rPr>
      </w:pPr>
      <w:r w:rsidRPr="001E5554">
        <w:rPr>
          <w:rFonts w:asciiTheme="minorHAnsi" w:hAnsiTheme="minorHAnsi"/>
          <w:sz w:val="24"/>
          <w:szCs w:val="24"/>
        </w:rPr>
        <w:t>Tests to determine hepatic function, such as serum albumin and prothrombin time</w:t>
      </w:r>
    </w:p>
    <w:p w14:paraId="13B4D274" w14:textId="77777777" w:rsidR="000853F8" w:rsidRPr="001E5554" w:rsidRDefault="000853F8" w:rsidP="000853F8">
      <w:pPr>
        <w:pStyle w:val="ListParagraph"/>
        <w:numPr>
          <w:ilvl w:val="0"/>
          <w:numId w:val="9"/>
        </w:numPr>
        <w:rPr>
          <w:rFonts w:asciiTheme="minorHAnsi" w:hAnsiTheme="minorHAnsi"/>
          <w:sz w:val="24"/>
          <w:szCs w:val="24"/>
        </w:rPr>
      </w:pPr>
      <w:r w:rsidRPr="001E5554">
        <w:rPr>
          <w:rFonts w:asciiTheme="minorHAnsi" w:hAnsiTheme="minorHAnsi"/>
          <w:sz w:val="24"/>
          <w:szCs w:val="24"/>
        </w:rPr>
        <w:t>Assays to detect significant co-infections, such as hepatitis A antibody, hepatitis B surface antigen, hepatitis B surface antibody, hepatitis B core antibody, HIV antibody</w:t>
      </w:r>
    </w:p>
    <w:p w14:paraId="123E818E" w14:textId="4CAD4481" w:rsidR="000853F8" w:rsidRPr="001E5554" w:rsidRDefault="000853F8" w:rsidP="000853F8">
      <w:pPr>
        <w:pStyle w:val="Heading3"/>
        <w:rPr>
          <w:rFonts w:asciiTheme="minorHAnsi" w:hAnsiTheme="minorHAnsi"/>
          <w:sz w:val="24"/>
          <w:szCs w:val="24"/>
        </w:rPr>
      </w:pPr>
      <w:bookmarkStart w:id="4" w:name="_Toc325178141"/>
      <w:r w:rsidRPr="001E5554">
        <w:rPr>
          <w:rFonts w:asciiTheme="minorHAnsi" w:hAnsiTheme="minorHAnsi"/>
          <w:sz w:val="24"/>
          <w:szCs w:val="24"/>
        </w:rPr>
        <w:t xml:space="preserve">Perform </w:t>
      </w:r>
      <w:r w:rsidR="00861385">
        <w:rPr>
          <w:rFonts w:asciiTheme="minorHAnsi" w:hAnsiTheme="minorHAnsi"/>
          <w:sz w:val="24"/>
          <w:szCs w:val="24"/>
        </w:rPr>
        <w:t>c</w:t>
      </w:r>
      <w:r w:rsidR="00861385" w:rsidRPr="001E5554">
        <w:rPr>
          <w:rFonts w:asciiTheme="minorHAnsi" w:hAnsiTheme="minorHAnsi"/>
          <w:sz w:val="24"/>
          <w:szCs w:val="24"/>
        </w:rPr>
        <w:t xml:space="preserve">omplete </w:t>
      </w:r>
      <w:r w:rsidRPr="001E5554">
        <w:rPr>
          <w:rFonts w:asciiTheme="minorHAnsi" w:hAnsiTheme="minorHAnsi"/>
          <w:sz w:val="24"/>
          <w:szCs w:val="24"/>
        </w:rPr>
        <w:t>patient history and examination</w:t>
      </w:r>
      <w:bookmarkEnd w:id="4"/>
    </w:p>
    <w:p w14:paraId="02FCED7F" w14:textId="77777777" w:rsidR="000853F8" w:rsidRPr="001E5554" w:rsidRDefault="000853F8" w:rsidP="000853F8">
      <w:pPr>
        <w:rPr>
          <w:rFonts w:asciiTheme="minorHAnsi" w:hAnsiTheme="minorHAnsi"/>
          <w:sz w:val="24"/>
          <w:szCs w:val="24"/>
        </w:rPr>
      </w:pPr>
      <w:r w:rsidRPr="001E5554">
        <w:rPr>
          <w:rFonts w:asciiTheme="minorHAnsi" w:hAnsiTheme="minorHAnsi"/>
          <w:sz w:val="24"/>
          <w:szCs w:val="24"/>
        </w:rPr>
        <w:t xml:space="preserve">Upon confirming chronic HCV infection, clinicians should perform complete patient medical histories and physical examinations. Clinicians should determine patients’ risk factors for acquiring HCV infection, psychiatric history, significant comorbidities, co-infection with other viruses, stigmata of chronic liver disease, clinical manifestations attributable to HCV infection, </w:t>
      </w:r>
      <w:r w:rsidRPr="001E5554">
        <w:rPr>
          <w:rFonts w:asciiTheme="minorHAnsi" w:hAnsiTheme="minorHAnsi"/>
          <w:sz w:val="24"/>
          <w:szCs w:val="24"/>
        </w:rPr>
        <w:lastRenderedPageBreak/>
        <w:t xml:space="preserve">history of prior treatment, and previous assessment of liver fibrosis. </w:t>
      </w:r>
      <w:r w:rsidRPr="001E5554">
        <w:rPr>
          <w:rFonts w:asciiTheme="minorHAnsi" w:hAnsiTheme="minorHAnsi"/>
          <w:sz w:val="24"/>
          <w:szCs w:val="24"/>
        </w:rPr>
        <w:fldChar w:fldCharType="begin"/>
      </w:r>
      <w:r w:rsidRPr="001E5554">
        <w:rPr>
          <w:rFonts w:asciiTheme="minorHAnsi" w:hAnsiTheme="minorHAnsi"/>
          <w:sz w:val="24"/>
          <w:szCs w:val="24"/>
        </w:rPr>
        <w:instrText xml:space="preserve"> ADDIN EN.CITE &lt;EndNote&gt;&lt;Cite&gt;&lt;Author&gt;Ramers&lt;/Author&gt;&lt;Year&gt;2013&lt;/Year&gt;&lt;RecNum&gt;11&lt;/RecNum&gt;&lt;DisplayText&gt;[8]&lt;/DisplayText&gt;&lt;record&gt;&lt;rec-number&gt;11&lt;/rec-number&gt;&lt;foreign-keys&gt;&lt;key app="EN" db-id="p20z9pv99fpf26effrkppwd19tzvsxa9tdvx" timestamp="1416412056"&gt;11&lt;/key&gt;&lt;/foreign-keys&gt;&lt;ref-type name="Web Page"&gt;12&lt;/ref-type&gt;&lt;contributors&gt;&lt;authors&gt;&lt;author&gt;Ramers, Christian D.&lt;/author&gt;&lt;/authors&gt;&lt;/contributors&gt;&lt;titles&gt;&lt;title&gt;Initial Evaluation of Persons with Chronic Hepatitis C&lt;/title&gt;&lt;/titles&gt;&lt;volume&gt;2014&lt;/volume&gt;&lt;number&gt;November 19&lt;/number&gt;&lt;dates&gt;&lt;year&gt;2013&lt;/year&gt;&lt;pub-dates&gt;&lt;date&gt;December 9, 2013&lt;/date&gt;&lt;/pub-dates&gt;&lt;/dates&gt;&lt;publisher&gt;Family Health Centers of San Diego&lt;/publisher&gt;&lt;urls&gt;&lt;related-urls&gt;&lt;url&gt;http://www.hepatitisc.uw.edu/go/evaluation-staging-monitoring/initial-evaluation-chronic/core-concept/all#screening-other-causes-contributors-liver-disease&lt;/url&gt;&lt;/related-urls&gt;&lt;/urls&gt;&lt;custom1&gt;2014&lt;/custom1&gt;&lt;custom2&gt;November 19&lt;/custom2&gt;&lt;/record&gt;&lt;/Cite&gt;&lt;/EndNote&gt;</w:instrText>
      </w:r>
      <w:r w:rsidRPr="001E5554">
        <w:rPr>
          <w:rFonts w:asciiTheme="minorHAnsi" w:hAnsiTheme="minorHAnsi"/>
          <w:sz w:val="24"/>
          <w:szCs w:val="24"/>
        </w:rPr>
        <w:fldChar w:fldCharType="separate"/>
      </w:r>
      <w:r w:rsidRPr="001E5554">
        <w:rPr>
          <w:rFonts w:asciiTheme="minorHAnsi" w:hAnsiTheme="minorHAnsi"/>
          <w:noProof/>
          <w:sz w:val="24"/>
          <w:szCs w:val="24"/>
        </w:rPr>
        <w:t>[8]</w:t>
      </w:r>
      <w:r w:rsidRPr="001E5554">
        <w:rPr>
          <w:rFonts w:asciiTheme="minorHAnsi" w:hAnsiTheme="minorHAnsi"/>
          <w:sz w:val="24"/>
          <w:szCs w:val="24"/>
        </w:rPr>
        <w:fldChar w:fldCharType="end"/>
      </w:r>
      <w:r w:rsidRPr="001E5554">
        <w:rPr>
          <w:rFonts w:asciiTheme="minorHAnsi" w:hAnsiTheme="minorHAnsi"/>
          <w:sz w:val="24"/>
          <w:szCs w:val="24"/>
        </w:rPr>
        <w:t xml:space="preserve"> Upon performing complete patient medical histories and physical examinations, clinicians should treat conditions that may delay HCV treatment and/or prevent patients from obtaining sustained </w:t>
      </w:r>
      <w:proofErr w:type="spellStart"/>
      <w:r w:rsidRPr="001E5554">
        <w:rPr>
          <w:rFonts w:asciiTheme="minorHAnsi" w:hAnsiTheme="minorHAnsi"/>
          <w:sz w:val="24"/>
          <w:szCs w:val="24"/>
        </w:rPr>
        <w:t>virologic</w:t>
      </w:r>
      <w:proofErr w:type="spellEnd"/>
      <w:r w:rsidRPr="001E5554">
        <w:rPr>
          <w:rFonts w:asciiTheme="minorHAnsi" w:hAnsiTheme="minorHAnsi"/>
          <w:sz w:val="24"/>
          <w:szCs w:val="24"/>
        </w:rPr>
        <w:t xml:space="preserve"> response.</w:t>
      </w:r>
    </w:p>
    <w:p w14:paraId="51FE33E0" w14:textId="77777777" w:rsidR="000853F8" w:rsidRPr="00BB26BD" w:rsidRDefault="000853F8" w:rsidP="00096185">
      <w:pPr>
        <w:rPr>
          <w:rFonts w:asciiTheme="minorHAnsi" w:hAnsiTheme="minorHAnsi"/>
          <w:sz w:val="24"/>
          <w:szCs w:val="24"/>
        </w:rPr>
      </w:pPr>
      <w:r w:rsidRPr="00BB26BD">
        <w:rPr>
          <w:rFonts w:asciiTheme="minorHAnsi" w:hAnsiTheme="minorHAnsi"/>
          <w:sz w:val="24"/>
          <w:szCs w:val="24"/>
        </w:rPr>
        <w:t xml:space="preserve">Clinicians should also assess patients’ alcohol histories to determine dependence that may delay treatment and/or prevent patients from achieving a sustained </w:t>
      </w:r>
      <w:proofErr w:type="spellStart"/>
      <w:r w:rsidRPr="00BB26BD">
        <w:rPr>
          <w:rFonts w:asciiTheme="minorHAnsi" w:hAnsiTheme="minorHAnsi"/>
          <w:sz w:val="24"/>
          <w:szCs w:val="24"/>
        </w:rPr>
        <w:t>virologic</w:t>
      </w:r>
      <w:proofErr w:type="spellEnd"/>
      <w:r w:rsidRPr="00BB26BD">
        <w:rPr>
          <w:rFonts w:asciiTheme="minorHAnsi" w:hAnsiTheme="minorHAnsi"/>
          <w:sz w:val="24"/>
          <w:szCs w:val="24"/>
        </w:rPr>
        <w:t xml:space="preserve"> response.</w:t>
      </w:r>
    </w:p>
    <w:p w14:paraId="2018E88D" w14:textId="77777777" w:rsidR="000853F8" w:rsidRPr="00F8756D" w:rsidRDefault="000853F8" w:rsidP="00F8756D">
      <w:pPr>
        <w:pStyle w:val="Heading4"/>
        <w:rPr>
          <w:rStyle w:val="SubtleEmphasis"/>
          <w:rFonts w:asciiTheme="minorHAnsi" w:hAnsiTheme="minorHAnsi"/>
          <w:i/>
          <w:color w:val="4F81BD" w:themeColor="accent1"/>
        </w:rPr>
      </w:pPr>
      <w:r w:rsidRPr="00F8756D">
        <w:rPr>
          <w:rStyle w:val="SubtleEmphasis"/>
          <w:rFonts w:asciiTheme="minorHAnsi" w:hAnsiTheme="minorHAnsi"/>
          <w:i/>
          <w:color w:val="4F81BD" w:themeColor="accent1"/>
        </w:rPr>
        <w:t>Psychiatric history</w:t>
      </w:r>
    </w:p>
    <w:p w14:paraId="769E2A55" w14:textId="3986E9AC" w:rsidR="000853F8" w:rsidRPr="003C5EDF" w:rsidRDefault="000853F8" w:rsidP="00096185">
      <w:pPr>
        <w:rPr>
          <w:rFonts w:asciiTheme="minorHAnsi" w:hAnsiTheme="minorHAnsi"/>
          <w:sz w:val="24"/>
          <w:szCs w:val="24"/>
        </w:rPr>
      </w:pPr>
      <w:r w:rsidRPr="00F8756D">
        <w:rPr>
          <w:rFonts w:asciiTheme="minorHAnsi" w:hAnsiTheme="minorHAnsi"/>
          <w:sz w:val="24"/>
          <w:szCs w:val="24"/>
        </w:rPr>
        <w:t xml:space="preserve">Whereas HCV treatments including interferon (a medication associated with </w:t>
      </w:r>
      <w:r w:rsidR="00182018" w:rsidRPr="00F8756D">
        <w:rPr>
          <w:rFonts w:asciiTheme="minorHAnsi" w:hAnsiTheme="minorHAnsi"/>
          <w:sz w:val="24"/>
          <w:szCs w:val="24"/>
        </w:rPr>
        <w:t>neuropsychiatric</w:t>
      </w:r>
      <w:r w:rsidRPr="00F8756D">
        <w:rPr>
          <w:rFonts w:asciiTheme="minorHAnsi" w:hAnsiTheme="minorHAnsi"/>
          <w:sz w:val="24"/>
          <w:szCs w:val="24"/>
        </w:rPr>
        <w:t xml:space="preserve"> side effects) are no longer necessary to develop a sustained </w:t>
      </w:r>
      <w:proofErr w:type="spellStart"/>
      <w:r w:rsidRPr="00F8756D">
        <w:rPr>
          <w:rFonts w:asciiTheme="minorHAnsi" w:hAnsiTheme="minorHAnsi"/>
          <w:sz w:val="24"/>
          <w:szCs w:val="24"/>
        </w:rPr>
        <w:t>virologic</w:t>
      </w:r>
      <w:proofErr w:type="spellEnd"/>
      <w:r w:rsidRPr="003C5EDF">
        <w:rPr>
          <w:rFonts w:asciiTheme="minorHAnsi" w:hAnsiTheme="minorHAnsi"/>
          <w:sz w:val="24"/>
          <w:szCs w:val="24"/>
        </w:rPr>
        <w:t xml:space="preserve"> response, clinicians should still assess patients’ past or current psychiatric issues during the initial visit. </w:t>
      </w:r>
      <w:r w:rsidR="0062044D">
        <w:rPr>
          <w:rFonts w:asciiTheme="minorHAnsi" w:hAnsiTheme="minorHAnsi"/>
          <w:sz w:val="24"/>
          <w:szCs w:val="24"/>
        </w:rPr>
        <w:t>P</w:t>
      </w:r>
      <w:r w:rsidRPr="003C5EDF">
        <w:rPr>
          <w:rFonts w:asciiTheme="minorHAnsi" w:hAnsiTheme="minorHAnsi"/>
          <w:sz w:val="24"/>
          <w:szCs w:val="24"/>
        </w:rPr>
        <w:t xml:space="preserve">sychiatric issues </w:t>
      </w:r>
      <w:r w:rsidR="0062044D">
        <w:rPr>
          <w:rFonts w:asciiTheme="minorHAnsi" w:hAnsiTheme="minorHAnsi"/>
          <w:sz w:val="24"/>
          <w:szCs w:val="24"/>
        </w:rPr>
        <w:t>are generally not</w:t>
      </w:r>
      <w:r w:rsidRPr="003C5EDF">
        <w:rPr>
          <w:rFonts w:asciiTheme="minorHAnsi" w:hAnsiTheme="minorHAnsi"/>
          <w:sz w:val="24"/>
          <w:szCs w:val="24"/>
        </w:rPr>
        <w:t xml:space="preserve"> contraindications for HCV treatment.  Upon diagnosing psychiatric issues, clinicians should link patients to psychiatric treatment, as appropriate.</w:t>
      </w:r>
    </w:p>
    <w:p w14:paraId="2CCAF92A" w14:textId="77777777" w:rsidR="000853F8" w:rsidRPr="00F8756D" w:rsidRDefault="000853F8" w:rsidP="00096185">
      <w:pPr>
        <w:pStyle w:val="Heading4"/>
        <w:rPr>
          <w:rStyle w:val="SubtleEmphasis"/>
          <w:rFonts w:asciiTheme="minorHAnsi" w:hAnsiTheme="minorHAnsi"/>
          <w:i/>
          <w:color w:val="4F81BD" w:themeColor="accent1"/>
        </w:rPr>
      </w:pPr>
      <w:r w:rsidRPr="00F8756D">
        <w:rPr>
          <w:rStyle w:val="SubtleEmphasis"/>
          <w:rFonts w:asciiTheme="minorHAnsi" w:hAnsiTheme="minorHAnsi"/>
          <w:i/>
          <w:color w:val="4F81BD" w:themeColor="accent1"/>
        </w:rPr>
        <w:t>Significant comorbidities</w:t>
      </w:r>
    </w:p>
    <w:p w14:paraId="01C58486" w14:textId="7B4D85A6" w:rsidR="000853F8" w:rsidRPr="003C5EDF" w:rsidRDefault="000853F8" w:rsidP="00096185">
      <w:pPr>
        <w:rPr>
          <w:rFonts w:asciiTheme="minorHAnsi" w:hAnsiTheme="minorHAnsi"/>
          <w:i/>
          <w:sz w:val="24"/>
          <w:szCs w:val="24"/>
        </w:rPr>
      </w:pPr>
      <w:r w:rsidRPr="00F8756D">
        <w:rPr>
          <w:rFonts w:asciiTheme="minorHAnsi" w:hAnsiTheme="minorHAnsi"/>
          <w:sz w:val="24"/>
          <w:szCs w:val="24"/>
        </w:rPr>
        <w:t>Clinicians should determine secondary causes of liver disease, such as non-alcoholic fatty liver disease, alcoholic hepatitis, or autoimmune hepatitis.  Clini</w:t>
      </w:r>
      <w:r w:rsidRPr="003C5EDF">
        <w:rPr>
          <w:rFonts w:asciiTheme="minorHAnsi" w:hAnsiTheme="minorHAnsi"/>
          <w:sz w:val="24"/>
          <w:szCs w:val="24"/>
        </w:rPr>
        <w:t>cians should also advise obese patients to lose weight prior to beginning HCV treatment</w:t>
      </w:r>
      <w:r w:rsidR="0062044D">
        <w:rPr>
          <w:rFonts w:asciiTheme="minorHAnsi" w:hAnsiTheme="minorHAnsi"/>
          <w:sz w:val="24"/>
          <w:szCs w:val="24"/>
        </w:rPr>
        <w:t>,</w:t>
      </w:r>
      <w:r w:rsidR="008F7742">
        <w:rPr>
          <w:rFonts w:asciiTheme="minorHAnsi" w:hAnsiTheme="minorHAnsi"/>
          <w:sz w:val="24"/>
          <w:szCs w:val="24"/>
        </w:rPr>
        <w:t xml:space="preserve"> and cessation of alcohol and </w:t>
      </w:r>
      <w:r w:rsidR="0062044D">
        <w:rPr>
          <w:rFonts w:asciiTheme="minorHAnsi" w:hAnsiTheme="minorHAnsi"/>
          <w:sz w:val="24"/>
          <w:szCs w:val="24"/>
        </w:rPr>
        <w:t>tobacco use</w:t>
      </w:r>
      <w:r w:rsidRPr="003C5EDF">
        <w:rPr>
          <w:rFonts w:asciiTheme="minorHAnsi" w:hAnsiTheme="minorHAnsi"/>
          <w:sz w:val="24"/>
          <w:szCs w:val="24"/>
        </w:rPr>
        <w:t>.</w:t>
      </w:r>
    </w:p>
    <w:p w14:paraId="1179A801" w14:textId="77777777" w:rsidR="000853F8" w:rsidRPr="00F8756D" w:rsidRDefault="000853F8" w:rsidP="00096185">
      <w:pPr>
        <w:pStyle w:val="Heading4"/>
        <w:rPr>
          <w:rStyle w:val="SubtleEmphasis"/>
          <w:rFonts w:asciiTheme="minorHAnsi" w:hAnsiTheme="minorHAnsi"/>
          <w:i/>
          <w:color w:val="4F81BD" w:themeColor="accent1"/>
        </w:rPr>
      </w:pPr>
      <w:r w:rsidRPr="00F8756D">
        <w:rPr>
          <w:rStyle w:val="SubtleEmphasis"/>
          <w:rFonts w:asciiTheme="minorHAnsi" w:hAnsiTheme="minorHAnsi"/>
          <w:i/>
          <w:color w:val="4F81BD" w:themeColor="accent1"/>
        </w:rPr>
        <w:t>Co-infection with other viruses</w:t>
      </w:r>
    </w:p>
    <w:p w14:paraId="032EDF00" w14:textId="77AE89F4" w:rsidR="000853F8" w:rsidRPr="003C5EDF" w:rsidRDefault="000853F8" w:rsidP="00096185">
      <w:pPr>
        <w:rPr>
          <w:rFonts w:asciiTheme="minorHAnsi" w:hAnsiTheme="minorHAnsi"/>
          <w:i/>
          <w:sz w:val="24"/>
          <w:szCs w:val="24"/>
        </w:rPr>
      </w:pPr>
      <w:r w:rsidRPr="00F8756D">
        <w:rPr>
          <w:rFonts w:asciiTheme="minorHAnsi" w:hAnsiTheme="minorHAnsi"/>
          <w:sz w:val="24"/>
          <w:szCs w:val="24"/>
        </w:rPr>
        <w:t xml:space="preserve">Clinicians should screen HCV-infected patients for hepatitis A virus, hepatitis B virus, and human immunodeficiency virus (HIV). </w:t>
      </w:r>
      <w:r w:rsidR="004F632C" w:rsidRPr="003C5EDF">
        <w:rPr>
          <w:rFonts w:asciiTheme="minorHAnsi" w:hAnsiTheme="minorHAnsi"/>
          <w:sz w:val="24"/>
          <w:szCs w:val="24"/>
        </w:rPr>
        <w:t xml:space="preserve"> If patient is not immune to hepatitis A or B, consider vaccination.</w:t>
      </w:r>
    </w:p>
    <w:p w14:paraId="382DA2B2" w14:textId="77777777" w:rsidR="000853F8" w:rsidRPr="00F8756D" w:rsidRDefault="000853F8" w:rsidP="00096185">
      <w:pPr>
        <w:pStyle w:val="Heading4"/>
        <w:rPr>
          <w:rStyle w:val="SubtleEmphasis"/>
          <w:rFonts w:asciiTheme="minorHAnsi" w:hAnsiTheme="minorHAnsi"/>
          <w:i/>
          <w:color w:val="4F81BD" w:themeColor="accent1"/>
        </w:rPr>
      </w:pPr>
      <w:r w:rsidRPr="00F8756D">
        <w:rPr>
          <w:rStyle w:val="SubtleEmphasis"/>
          <w:rFonts w:asciiTheme="minorHAnsi" w:hAnsiTheme="minorHAnsi"/>
          <w:i/>
          <w:color w:val="4F81BD" w:themeColor="accent1"/>
        </w:rPr>
        <w:t>Stigmata of chronic liver disease</w:t>
      </w:r>
    </w:p>
    <w:p w14:paraId="49C75A23" w14:textId="77777777" w:rsidR="000853F8" w:rsidRPr="003C5EDF" w:rsidRDefault="000853F8" w:rsidP="00096185">
      <w:pPr>
        <w:rPr>
          <w:rFonts w:asciiTheme="minorHAnsi" w:hAnsiTheme="minorHAnsi"/>
          <w:i/>
          <w:sz w:val="24"/>
          <w:szCs w:val="24"/>
        </w:rPr>
      </w:pPr>
      <w:r w:rsidRPr="00F8756D">
        <w:rPr>
          <w:rFonts w:asciiTheme="minorHAnsi" w:hAnsiTheme="minorHAnsi"/>
          <w:sz w:val="24"/>
          <w:szCs w:val="24"/>
        </w:rPr>
        <w:t>Clinicians may consider the presence of the following physical signs and symptoms (in decreasing order of the likelihood ratio of cirrhosis) as indicators of c</w:t>
      </w:r>
      <w:r w:rsidRPr="003C5EDF">
        <w:rPr>
          <w:rFonts w:asciiTheme="minorHAnsi" w:hAnsiTheme="minorHAnsi"/>
          <w:sz w:val="24"/>
          <w:szCs w:val="24"/>
        </w:rPr>
        <w:t xml:space="preserve">irrhosis: caput </w:t>
      </w:r>
      <w:proofErr w:type="spellStart"/>
      <w:r w:rsidRPr="003C5EDF">
        <w:rPr>
          <w:rFonts w:asciiTheme="minorHAnsi" w:hAnsiTheme="minorHAnsi"/>
          <w:sz w:val="24"/>
          <w:szCs w:val="24"/>
        </w:rPr>
        <w:t>medusae</w:t>
      </w:r>
      <w:proofErr w:type="spellEnd"/>
      <w:r w:rsidRPr="003C5EDF">
        <w:rPr>
          <w:rFonts w:asciiTheme="minorHAnsi" w:hAnsiTheme="minorHAnsi"/>
          <w:sz w:val="24"/>
          <w:szCs w:val="24"/>
        </w:rPr>
        <w:t xml:space="preserve">/dilated abdominal wall vessels, loss of body/pubic hair, hepatic encephalopathy, gynecomastia, ascites, spider </w:t>
      </w:r>
      <w:proofErr w:type="spellStart"/>
      <w:r w:rsidRPr="003C5EDF">
        <w:rPr>
          <w:rFonts w:asciiTheme="minorHAnsi" w:hAnsiTheme="minorHAnsi"/>
          <w:sz w:val="24"/>
          <w:szCs w:val="24"/>
        </w:rPr>
        <w:t>angiomata</w:t>
      </w:r>
      <w:proofErr w:type="spellEnd"/>
      <w:r w:rsidRPr="003C5EDF">
        <w:rPr>
          <w:rFonts w:asciiTheme="minorHAnsi" w:hAnsiTheme="minorHAnsi"/>
          <w:sz w:val="24"/>
          <w:szCs w:val="24"/>
        </w:rPr>
        <w:t>, palmar erythema, jaundice and scleral icterus, and liver stiffness.</w:t>
      </w:r>
    </w:p>
    <w:p w14:paraId="7FD9C887" w14:textId="77777777" w:rsidR="000853F8" w:rsidRPr="00F8756D" w:rsidRDefault="000853F8" w:rsidP="00096185">
      <w:pPr>
        <w:pStyle w:val="Heading4"/>
        <w:rPr>
          <w:rStyle w:val="SubtleEmphasis"/>
          <w:rFonts w:asciiTheme="minorHAnsi" w:hAnsiTheme="minorHAnsi"/>
          <w:i/>
          <w:color w:val="4F81BD" w:themeColor="accent1"/>
        </w:rPr>
      </w:pPr>
      <w:r w:rsidRPr="00F8756D">
        <w:rPr>
          <w:rStyle w:val="SubtleEmphasis"/>
          <w:rFonts w:asciiTheme="minorHAnsi" w:hAnsiTheme="minorHAnsi"/>
          <w:i/>
          <w:color w:val="4F81BD" w:themeColor="accent1"/>
        </w:rPr>
        <w:t>Clinical manifestations</w:t>
      </w:r>
    </w:p>
    <w:p w14:paraId="60EEDEBF" w14:textId="023F4850" w:rsidR="000853F8" w:rsidRPr="003C5EDF" w:rsidRDefault="000853F8" w:rsidP="00096185">
      <w:pPr>
        <w:rPr>
          <w:rFonts w:asciiTheme="minorHAnsi" w:hAnsiTheme="minorHAnsi"/>
          <w:i/>
          <w:sz w:val="24"/>
          <w:szCs w:val="24"/>
        </w:rPr>
      </w:pPr>
      <w:r w:rsidRPr="00F8756D">
        <w:rPr>
          <w:rFonts w:asciiTheme="minorHAnsi" w:hAnsiTheme="minorHAnsi"/>
          <w:sz w:val="24"/>
          <w:szCs w:val="24"/>
        </w:rPr>
        <w:t>Clinicians should determine extrahepatic clinical manifestations</w:t>
      </w:r>
      <w:r w:rsidR="0062044D">
        <w:rPr>
          <w:rFonts w:asciiTheme="minorHAnsi" w:hAnsiTheme="minorHAnsi"/>
          <w:sz w:val="24"/>
          <w:szCs w:val="24"/>
        </w:rPr>
        <w:t xml:space="preserve"> of chronic HCV infection</w:t>
      </w:r>
      <w:r w:rsidRPr="00F8756D">
        <w:rPr>
          <w:rFonts w:asciiTheme="minorHAnsi" w:hAnsiTheme="minorHAnsi"/>
          <w:sz w:val="24"/>
          <w:szCs w:val="24"/>
        </w:rPr>
        <w:t xml:space="preserve">, such as </w:t>
      </w:r>
      <w:proofErr w:type="spellStart"/>
      <w:r w:rsidRPr="00F8756D">
        <w:rPr>
          <w:rFonts w:asciiTheme="minorHAnsi" w:hAnsiTheme="minorHAnsi"/>
          <w:sz w:val="24"/>
          <w:szCs w:val="24"/>
        </w:rPr>
        <w:t>arthralgias</w:t>
      </w:r>
      <w:proofErr w:type="spellEnd"/>
      <w:r w:rsidRPr="00F8756D">
        <w:rPr>
          <w:rFonts w:asciiTheme="minorHAnsi" w:hAnsiTheme="minorHAnsi"/>
          <w:sz w:val="24"/>
          <w:szCs w:val="24"/>
        </w:rPr>
        <w:t>, neuropathy, nephropathy, glomerulonephritis, livedo reticularis, lichen planus, and cold agglutinin disease.</w:t>
      </w:r>
    </w:p>
    <w:p w14:paraId="46E44165" w14:textId="77777777" w:rsidR="000853F8" w:rsidRPr="00F8756D" w:rsidRDefault="000853F8" w:rsidP="00096185">
      <w:pPr>
        <w:pStyle w:val="Heading4"/>
        <w:rPr>
          <w:rStyle w:val="SubtleEmphasis"/>
          <w:rFonts w:asciiTheme="minorHAnsi" w:hAnsiTheme="minorHAnsi"/>
          <w:i/>
          <w:color w:val="4F81BD" w:themeColor="accent1"/>
        </w:rPr>
      </w:pPr>
      <w:r w:rsidRPr="00F8756D">
        <w:rPr>
          <w:rStyle w:val="SubtleEmphasis"/>
          <w:rFonts w:asciiTheme="minorHAnsi" w:hAnsiTheme="minorHAnsi"/>
          <w:i/>
          <w:color w:val="4F81BD" w:themeColor="accent1"/>
        </w:rPr>
        <w:lastRenderedPageBreak/>
        <w:t>History of prior treatment</w:t>
      </w:r>
    </w:p>
    <w:p w14:paraId="3DAD8AC5" w14:textId="77777777" w:rsidR="000853F8" w:rsidRPr="003C5EDF" w:rsidRDefault="000853F8" w:rsidP="00096185">
      <w:pPr>
        <w:rPr>
          <w:rFonts w:asciiTheme="minorHAnsi" w:hAnsiTheme="minorHAnsi"/>
          <w:i/>
          <w:sz w:val="24"/>
          <w:szCs w:val="24"/>
        </w:rPr>
      </w:pPr>
      <w:r w:rsidRPr="00F8756D">
        <w:rPr>
          <w:rFonts w:asciiTheme="minorHAnsi" w:hAnsiTheme="minorHAnsi"/>
          <w:sz w:val="24"/>
          <w:szCs w:val="24"/>
        </w:rPr>
        <w:t xml:space="preserve">Clinicians should determine if patients have previously undergone HCV treatment. If patients have failed to obtain sustained </w:t>
      </w:r>
      <w:proofErr w:type="spellStart"/>
      <w:r w:rsidRPr="00F8756D">
        <w:rPr>
          <w:rFonts w:asciiTheme="minorHAnsi" w:hAnsiTheme="minorHAnsi"/>
          <w:sz w:val="24"/>
          <w:szCs w:val="24"/>
        </w:rPr>
        <w:t>virologic</w:t>
      </w:r>
      <w:proofErr w:type="spellEnd"/>
      <w:r w:rsidRPr="00F8756D">
        <w:rPr>
          <w:rFonts w:asciiTheme="minorHAnsi" w:hAnsiTheme="minorHAnsi"/>
          <w:sz w:val="24"/>
          <w:szCs w:val="24"/>
        </w:rPr>
        <w:t xml:space="preserve"> response with previous HCV treatment, clinicians should determine the following with regard to previous HCV treatment: medications, duration, timing, patient’s degree of ad</w:t>
      </w:r>
      <w:r w:rsidRPr="003C5EDF">
        <w:rPr>
          <w:rFonts w:asciiTheme="minorHAnsi" w:hAnsiTheme="minorHAnsi"/>
          <w:sz w:val="24"/>
          <w:szCs w:val="24"/>
        </w:rPr>
        <w:t>herence, adverse effects, and when possible, viral kinetics and outcome.</w:t>
      </w:r>
    </w:p>
    <w:p w14:paraId="45B1818E" w14:textId="77777777" w:rsidR="000853F8" w:rsidRPr="00F8756D" w:rsidRDefault="000853F8" w:rsidP="00096185">
      <w:pPr>
        <w:pStyle w:val="Heading4"/>
        <w:rPr>
          <w:rStyle w:val="SubtleEmphasis"/>
          <w:rFonts w:asciiTheme="minorHAnsi" w:hAnsiTheme="minorHAnsi"/>
          <w:i/>
          <w:color w:val="4F81BD" w:themeColor="accent1"/>
        </w:rPr>
      </w:pPr>
      <w:r w:rsidRPr="00F8756D">
        <w:rPr>
          <w:rStyle w:val="SubtleEmphasis"/>
          <w:rFonts w:asciiTheme="minorHAnsi" w:hAnsiTheme="minorHAnsi"/>
          <w:i/>
          <w:color w:val="4F81BD" w:themeColor="accent1"/>
        </w:rPr>
        <w:t>Previous assessment of liver fibrosis</w:t>
      </w:r>
    </w:p>
    <w:p w14:paraId="45C40432" w14:textId="77777777" w:rsidR="000853F8" w:rsidRPr="003C5EDF" w:rsidRDefault="000853F8" w:rsidP="00096185">
      <w:pPr>
        <w:rPr>
          <w:rFonts w:asciiTheme="minorHAnsi" w:hAnsiTheme="minorHAnsi"/>
          <w:sz w:val="24"/>
          <w:szCs w:val="24"/>
        </w:rPr>
      </w:pPr>
      <w:r w:rsidRPr="00F8756D">
        <w:rPr>
          <w:rFonts w:asciiTheme="minorHAnsi" w:hAnsiTheme="minorHAnsi"/>
          <w:sz w:val="24"/>
          <w:szCs w:val="24"/>
        </w:rPr>
        <w:t>Clinicians should determine whether patients have previously had a liver biopsy. For patients who have had a liver biopsy, clinicians should reco</w:t>
      </w:r>
      <w:r w:rsidRPr="003C5EDF">
        <w:rPr>
          <w:rFonts w:asciiTheme="minorHAnsi" w:hAnsiTheme="minorHAnsi"/>
          <w:sz w:val="24"/>
          <w:szCs w:val="24"/>
        </w:rPr>
        <w:t>rd the date of the biopsy, the sample size, the fibrosis scoring system, and the fibrosis score. Clinicians should also note any previously performed non-invasive tests for determining liver fibrosis scores.</w:t>
      </w:r>
    </w:p>
    <w:p w14:paraId="45C6A22C" w14:textId="77777777" w:rsidR="000853F8" w:rsidRPr="001E5554" w:rsidRDefault="000853F8" w:rsidP="000853F8">
      <w:pPr>
        <w:pStyle w:val="Heading3"/>
        <w:rPr>
          <w:rFonts w:asciiTheme="minorHAnsi" w:hAnsiTheme="minorHAnsi"/>
          <w:sz w:val="24"/>
          <w:szCs w:val="24"/>
        </w:rPr>
      </w:pPr>
      <w:bookmarkStart w:id="5" w:name="_Toc325178142"/>
      <w:r w:rsidRPr="001E5554">
        <w:rPr>
          <w:rFonts w:asciiTheme="minorHAnsi" w:hAnsiTheme="minorHAnsi"/>
          <w:sz w:val="24"/>
          <w:szCs w:val="24"/>
        </w:rPr>
        <w:t>Stage HCV Liver Fibrosis</w:t>
      </w:r>
      <w:bookmarkEnd w:id="5"/>
    </w:p>
    <w:p w14:paraId="70484274" w14:textId="7FE7C935" w:rsidR="000853F8" w:rsidRPr="001E5554" w:rsidRDefault="000853F8" w:rsidP="000853F8">
      <w:pPr>
        <w:rPr>
          <w:rFonts w:asciiTheme="minorHAnsi" w:hAnsiTheme="minorHAnsi"/>
          <w:sz w:val="24"/>
          <w:szCs w:val="24"/>
        </w:rPr>
      </w:pPr>
      <w:r w:rsidRPr="001E5554">
        <w:rPr>
          <w:rFonts w:asciiTheme="minorHAnsi" w:hAnsiTheme="minorHAnsi"/>
          <w:sz w:val="24"/>
          <w:szCs w:val="24"/>
        </w:rPr>
        <w:t>Although the gold standard to stage hepatic fibrosis is by performing a liver biopsy with histologic analysis</w:t>
      </w:r>
      <w:r w:rsidR="001C7C92">
        <w:rPr>
          <w:rFonts w:asciiTheme="minorHAnsi" w:hAnsiTheme="minorHAnsi"/>
          <w:sz w:val="24"/>
          <w:szCs w:val="24"/>
        </w:rPr>
        <w:t>, noninvasive testing</w:t>
      </w:r>
      <w:r w:rsidRPr="001E5554">
        <w:rPr>
          <w:rFonts w:asciiTheme="minorHAnsi" w:hAnsiTheme="minorHAnsi"/>
          <w:sz w:val="24"/>
          <w:szCs w:val="24"/>
        </w:rPr>
        <w:t xml:space="preserve"> with </w:t>
      </w:r>
      <w:r w:rsidR="00841313">
        <w:rPr>
          <w:rFonts w:asciiTheme="minorHAnsi" w:hAnsiTheme="minorHAnsi"/>
          <w:sz w:val="24"/>
          <w:szCs w:val="24"/>
        </w:rPr>
        <w:t xml:space="preserve">ultrasound transient </w:t>
      </w:r>
      <w:proofErr w:type="spellStart"/>
      <w:r w:rsidR="00841313">
        <w:rPr>
          <w:rFonts w:asciiTheme="minorHAnsi" w:hAnsiTheme="minorHAnsi"/>
          <w:sz w:val="24"/>
          <w:szCs w:val="24"/>
        </w:rPr>
        <w:t>elastography</w:t>
      </w:r>
      <w:proofErr w:type="spellEnd"/>
      <w:r w:rsidR="00841313" w:rsidRPr="001E5554">
        <w:rPr>
          <w:rFonts w:asciiTheme="minorHAnsi" w:hAnsiTheme="minorHAnsi"/>
          <w:sz w:val="24"/>
          <w:szCs w:val="24"/>
        </w:rPr>
        <w:t xml:space="preserve"> </w:t>
      </w:r>
      <w:r w:rsidR="00841313">
        <w:rPr>
          <w:rFonts w:asciiTheme="minorHAnsi" w:hAnsiTheme="minorHAnsi"/>
          <w:sz w:val="24"/>
          <w:szCs w:val="24"/>
        </w:rPr>
        <w:t xml:space="preserve"> (</w:t>
      </w:r>
      <w:proofErr w:type="spellStart"/>
      <w:r w:rsidRPr="001E5554">
        <w:rPr>
          <w:rFonts w:asciiTheme="minorHAnsi" w:hAnsiTheme="minorHAnsi"/>
          <w:sz w:val="24"/>
          <w:szCs w:val="24"/>
        </w:rPr>
        <w:t>FibroScan</w:t>
      </w:r>
      <w:r w:rsidR="00841313">
        <w:rPr>
          <w:rFonts w:asciiTheme="minorHAnsi" w:hAnsiTheme="minorHAnsi"/>
          <w:sz w:val="24"/>
          <w:szCs w:val="24"/>
          <w:vertAlign w:val="subscript"/>
        </w:rPr>
        <w:t>TM</w:t>
      </w:r>
      <w:proofErr w:type="spellEnd"/>
      <w:r w:rsidR="00841313">
        <w:rPr>
          <w:rFonts w:asciiTheme="minorHAnsi" w:hAnsiTheme="minorHAnsi"/>
          <w:sz w:val="24"/>
          <w:szCs w:val="24"/>
        </w:rPr>
        <w:t>) or</w:t>
      </w:r>
      <w:r w:rsidRPr="001E5554">
        <w:rPr>
          <w:rFonts w:asciiTheme="minorHAnsi" w:hAnsiTheme="minorHAnsi"/>
          <w:sz w:val="24"/>
          <w:szCs w:val="24"/>
        </w:rPr>
        <w:t xml:space="preserve"> </w:t>
      </w:r>
      <w:r w:rsidR="00841313">
        <w:rPr>
          <w:rFonts w:asciiTheme="minorHAnsi" w:hAnsiTheme="minorHAnsi"/>
          <w:sz w:val="24"/>
          <w:szCs w:val="24"/>
        </w:rPr>
        <w:t>blood test</w:t>
      </w:r>
      <w:r w:rsidRPr="001E5554">
        <w:rPr>
          <w:rFonts w:asciiTheme="minorHAnsi" w:hAnsiTheme="minorHAnsi"/>
          <w:sz w:val="24"/>
          <w:szCs w:val="24"/>
        </w:rPr>
        <w:t xml:space="preserve"> staging methods are widely used, acceptable, and more feasible. These methods include two of the following non-invasive tests for indirect markers of cirrhosis: Aspartate Aminotransferase-to-Platelet Ratio Index (APRI), Fibrosis-4 (FIB-4), and </w:t>
      </w:r>
      <w:proofErr w:type="spellStart"/>
      <w:r w:rsidR="00841313" w:rsidRPr="001E5554">
        <w:rPr>
          <w:rFonts w:asciiTheme="minorHAnsi" w:hAnsiTheme="minorHAnsi"/>
          <w:sz w:val="24"/>
          <w:szCs w:val="24"/>
        </w:rPr>
        <w:t>Fibro</w:t>
      </w:r>
      <w:r w:rsidR="00841313">
        <w:rPr>
          <w:rFonts w:asciiTheme="minorHAnsi" w:hAnsiTheme="minorHAnsi"/>
          <w:sz w:val="24"/>
          <w:szCs w:val="24"/>
        </w:rPr>
        <w:t>Sure</w:t>
      </w:r>
      <w:proofErr w:type="spellEnd"/>
      <w:r w:rsidRPr="001E5554">
        <w:rPr>
          <w:rFonts w:asciiTheme="minorHAnsi" w:hAnsiTheme="minorHAnsi"/>
          <w:sz w:val="24"/>
          <w:szCs w:val="24"/>
        </w:rPr>
        <w:t xml:space="preserve">. </w:t>
      </w:r>
    </w:p>
    <w:p w14:paraId="1F2A5F7E" w14:textId="77777777" w:rsidR="000853F8" w:rsidRPr="001E5554" w:rsidRDefault="000853F8" w:rsidP="000853F8">
      <w:pPr>
        <w:rPr>
          <w:rFonts w:asciiTheme="minorHAnsi" w:hAnsiTheme="minorHAnsi"/>
          <w:sz w:val="24"/>
          <w:szCs w:val="24"/>
        </w:rPr>
      </w:pPr>
      <w:r w:rsidRPr="001E5554">
        <w:rPr>
          <w:rFonts w:asciiTheme="minorHAnsi" w:hAnsiTheme="minorHAnsi"/>
          <w:sz w:val="24"/>
          <w:szCs w:val="24"/>
        </w:rPr>
        <w:t xml:space="preserve">When using non-invasive tests, if both tests determine the fibrosis score as F1, treatment is optional if patients have no contraindications; if both tests determine the fibrosis score as F2 or above, clinicians should begin patients on antiviral therapy if patient has no contraindications. If tests determine disparate results, clinicians should consider following up with a liver biopsy or </w:t>
      </w:r>
      <w:proofErr w:type="spellStart"/>
      <w:r w:rsidRPr="001E5554">
        <w:rPr>
          <w:rFonts w:asciiTheme="minorHAnsi" w:hAnsiTheme="minorHAnsi"/>
          <w:sz w:val="24"/>
          <w:szCs w:val="24"/>
        </w:rPr>
        <w:t>FibroScan</w:t>
      </w:r>
      <w:proofErr w:type="spellEnd"/>
      <w:r w:rsidRPr="001E5554">
        <w:rPr>
          <w:rFonts w:asciiTheme="minorHAnsi" w:hAnsiTheme="minorHAnsi"/>
          <w:sz w:val="24"/>
          <w:szCs w:val="24"/>
        </w:rPr>
        <w:t xml:space="preserve">. </w:t>
      </w:r>
      <w:r w:rsidRPr="001E5554">
        <w:rPr>
          <w:rFonts w:asciiTheme="minorHAnsi" w:hAnsiTheme="minorHAnsi"/>
          <w:sz w:val="24"/>
          <w:szCs w:val="24"/>
        </w:rPr>
        <w:fldChar w:fldCharType="begin"/>
      </w:r>
      <w:r w:rsidRPr="001E5554">
        <w:rPr>
          <w:rFonts w:asciiTheme="minorHAnsi" w:hAnsiTheme="minorHAnsi"/>
          <w:sz w:val="24"/>
          <w:szCs w:val="24"/>
        </w:rPr>
        <w:instrText xml:space="preserve"> ADDIN EN.CITE &lt;EndNote&gt;&lt;Cite&gt;&lt;Author&gt;Bhogal&lt;/Author&gt;&lt;Year&gt;2012&lt;/Year&gt;&lt;RecNum&gt;15&lt;/RecNum&gt;&lt;DisplayText&gt;[9]&lt;/DisplayText&gt;&lt;record&gt;&lt;rec-number&gt;15&lt;/rec-number&gt;&lt;foreign-keys&gt;&lt;key app="EN" db-id="p20z9pv99fpf26effrkppwd19tzvsxa9tdvx" timestamp="1417037078"&gt;15&lt;/key&gt;&lt;/foreign-keys&gt;&lt;ref-type name="Journal Article"&gt;17&lt;/ref-type&gt;&lt;contributors&gt;&lt;authors&gt;&lt;author&gt;Bhogal, H.&lt;/author&gt;&lt;author&gt;Sterling, R. K.&lt;/author&gt;&lt;/authors&gt;&lt;/contributors&gt;&lt;auth-address&gt;Division of Gastroenterology, Hepatology and Nutrition, Virginia Commonwealth University, Richmond, VA, USA.&lt;/auth-address&gt;&lt;titles&gt;&lt;title&gt;Staging of liver disease: which option is right for my patient?&lt;/title&gt;&lt;secondary-title&gt;Infect Dis Clin North Am&lt;/secondary-title&gt;&lt;alt-title&gt;Infectious disease clinics of North America&lt;/alt-title&gt;&lt;/titles&gt;&lt;periodical&gt;&lt;full-title&gt;Infect Dis Clin North Am&lt;/full-title&gt;&lt;abbr-1&gt;Infectious disease clinics of North America&lt;/abbr-1&gt;&lt;/periodical&gt;&lt;alt-periodical&gt;&lt;full-title&gt;Infect Dis Clin North Am&lt;/full-title&gt;&lt;abbr-1&gt;Infectious disease clinics of North America&lt;/abbr-1&gt;&lt;/alt-periodical&gt;&lt;pages&gt;849-61&lt;/pages&gt;&lt;volume&gt;26&lt;/volume&gt;&lt;number&gt;4&lt;/number&gt;&lt;keywords&gt;&lt;keyword&gt;Algorithms&lt;/keyword&gt;&lt;keyword&gt;Biological Markers/analysis&lt;/keyword&gt;&lt;keyword&gt;Biopsy&lt;/keyword&gt;&lt;keyword&gt;Diagnostic Imaging&lt;/keyword&gt;&lt;keyword&gt;Hepatitis C, Chronic/diagnosis/metabolism/*pathology/virology&lt;/keyword&gt;&lt;keyword&gt;Humans&lt;/keyword&gt;&lt;keyword&gt;Liver Cirrhosis/diagnosis/metabolism/*pathology/*virology&lt;/keyword&gt;&lt;keyword&gt;Severity of Illness Index&lt;/keyword&gt;&lt;/keywords&gt;&lt;dates&gt;&lt;year&gt;2012&lt;/year&gt;&lt;pub-dates&gt;&lt;date&gt;Dec&lt;/date&gt;&lt;/pub-dates&gt;&lt;/dates&gt;&lt;isbn&gt;1557-9824 (Electronic)&amp;#xD;0891-5520 (Linking)&lt;/isbn&gt;&lt;accession-num&gt;23083819&lt;/accession-num&gt;&lt;urls&gt;&lt;related-urls&gt;&lt;url&gt;http://www.ncbi.nlm.nih.gov/pubmed/23083819&lt;/url&gt;&lt;url&gt;http://ac.els-cdn.com/S0891552012000785/1-s2.0-S0891552012000785-main.pdf?_tid=ac61a73c-75b2-11e4-934c-00000aab0f6b&amp;amp;acdnat=1417037278_749d0e556025e4229e20c36dd565c6c5&lt;/url&gt;&lt;/related-urls&gt;&lt;/urls&gt;&lt;electronic-resource-num&gt;10.1016/j.idc.2012.08.002&lt;/electronic-resource-num&gt;&lt;/record&gt;&lt;/Cite&gt;&lt;/EndNote&gt;</w:instrText>
      </w:r>
      <w:r w:rsidRPr="001E5554">
        <w:rPr>
          <w:rFonts w:asciiTheme="minorHAnsi" w:hAnsiTheme="minorHAnsi"/>
          <w:sz w:val="24"/>
          <w:szCs w:val="24"/>
        </w:rPr>
        <w:fldChar w:fldCharType="separate"/>
      </w:r>
      <w:r w:rsidRPr="001E5554">
        <w:rPr>
          <w:rFonts w:asciiTheme="minorHAnsi" w:hAnsiTheme="minorHAnsi"/>
          <w:noProof/>
          <w:sz w:val="24"/>
          <w:szCs w:val="24"/>
        </w:rPr>
        <w:t>[9]</w:t>
      </w:r>
      <w:r w:rsidRPr="001E5554">
        <w:rPr>
          <w:rFonts w:asciiTheme="minorHAnsi" w:hAnsiTheme="minorHAnsi"/>
          <w:sz w:val="24"/>
          <w:szCs w:val="24"/>
        </w:rPr>
        <w:fldChar w:fldCharType="end"/>
      </w:r>
    </w:p>
    <w:p w14:paraId="379E2849" w14:textId="304CC0D5" w:rsidR="000853F8" w:rsidRPr="001E5554" w:rsidRDefault="0062044D" w:rsidP="000853F8">
      <w:pPr>
        <w:pStyle w:val="Heading3"/>
        <w:rPr>
          <w:rFonts w:asciiTheme="minorHAnsi" w:hAnsiTheme="minorHAnsi"/>
          <w:sz w:val="24"/>
          <w:szCs w:val="24"/>
        </w:rPr>
      </w:pPr>
      <w:bookmarkStart w:id="6" w:name="_Toc325178143"/>
      <w:r>
        <w:rPr>
          <w:rFonts w:asciiTheme="minorHAnsi" w:hAnsiTheme="minorHAnsi"/>
          <w:sz w:val="24"/>
          <w:szCs w:val="24"/>
        </w:rPr>
        <w:t>Preventive care and counseling for chronic HCV patients</w:t>
      </w:r>
      <w:bookmarkEnd w:id="6"/>
    </w:p>
    <w:p w14:paraId="497C453F" w14:textId="460A5172" w:rsidR="000853F8" w:rsidRDefault="000853F8" w:rsidP="000853F8">
      <w:pPr>
        <w:shd w:val="clear" w:color="auto" w:fill="FFFFFF"/>
        <w:textAlignment w:val="center"/>
        <w:rPr>
          <w:rFonts w:asciiTheme="minorHAnsi" w:hAnsiTheme="minorHAnsi" w:cs="Tahoma"/>
          <w:color w:val="000000"/>
          <w:sz w:val="24"/>
          <w:szCs w:val="24"/>
          <w:shd w:val="clear" w:color="auto" w:fill="FFFFFF"/>
        </w:rPr>
      </w:pPr>
      <w:r w:rsidRPr="001E5554">
        <w:rPr>
          <w:rFonts w:asciiTheme="minorHAnsi" w:hAnsiTheme="minorHAnsi" w:cs="Tahoma"/>
          <w:color w:val="000000"/>
          <w:sz w:val="24"/>
          <w:szCs w:val="24"/>
          <w:shd w:val="clear" w:color="auto" w:fill="FFFFFF"/>
        </w:rPr>
        <w:t>Before patients begin treatment, have a confirmed positive HCV RNA level, preferably quantitative in nature. A genotype test will also be needed to determine the recommended course of treatment.  Clinicians should prioritize patients with advanced or compensated cirrhosis (F3 and F4 fibrosis scores, respectively), patients with severe or extrahepatic HCV, and liver transplant recipients to receive immediate treatment. [10</w:t>
      </w:r>
      <w:r w:rsidR="00244F7A">
        <w:rPr>
          <w:rFonts w:asciiTheme="minorHAnsi" w:hAnsiTheme="minorHAnsi" w:cs="Tahoma"/>
          <w:color w:val="000000"/>
          <w:sz w:val="24"/>
          <w:szCs w:val="24"/>
          <w:shd w:val="clear" w:color="auto" w:fill="FFFFFF"/>
        </w:rPr>
        <w:t>-13</w:t>
      </w:r>
      <w:r w:rsidRPr="001E5554">
        <w:rPr>
          <w:rFonts w:asciiTheme="minorHAnsi" w:hAnsiTheme="minorHAnsi" w:cs="Tahoma"/>
          <w:color w:val="000000"/>
          <w:sz w:val="24"/>
          <w:szCs w:val="24"/>
          <w:shd w:val="clear" w:color="auto" w:fill="FFFFFF"/>
        </w:rPr>
        <w:t>]</w:t>
      </w:r>
    </w:p>
    <w:p w14:paraId="5DF73CAB" w14:textId="70DF5026" w:rsidR="004F632C" w:rsidRPr="001E5554" w:rsidRDefault="004F632C" w:rsidP="000853F8">
      <w:pPr>
        <w:shd w:val="clear" w:color="auto" w:fill="FFFFFF"/>
        <w:textAlignment w:val="center"/>
        <w:rPr>
          <w:rFonts w:asciiTheme="minorHAnsi" w:hAnsiTheme="minorHAnsi" w:cs="Tahoma"/>
          <w:color w:val="212121"/>
          <w:sz w:val="24"/>
          <w:szCs w:val="24"/>
          <w:shd w:val="clear" w:color="auto" w:fill="FFFFFF"/>
        </w:rPr>
      </w:pPr>
      <w:r>
        <w:rPr>
          <w:rFonts w:asciiTheme="minorHAnsi" w:hAnsiTheme="minorHAnsi" w:cs="Tahoma"/>
          <w:color w:val="000000"/>
          <w:sz w:val="24"/>
          <w:szCs w:val="24"/>
          <w:shd w:val="clear" w:color="auto" w:fill="FFFFFF"/>
        </w:rPr>
        <w:t>Patients should also be vaccinated for Hepatitis A and B, if immunity is not detected.</w:t>
      </w:r>
    </w:p>
    <w:p w14:paraId="3F795BBA" w14:textId="582E6862" w:rsidR="000853F8" w:rsidRPr="001E5554" w:rsidRDefault="000853F8" w:rsidP="000853F8">
      <w:pPr>
        <w:shd w:val="clear" w:color="auto" w:fill="FFFFFF"/>
        <w:textAlignment w:val="center"/>
        <w:rPr>
          <w:rFonts w:asciiTheme="minorHAnsi" w:hAnsiTheme="minorHAnsi" w:cs="Tahoma"/>
          <w:color w:val="000000"/>
          <w:sz w:val="24"/>
          <w:szCs w:val="24"/>
          <w:shd w:val="clear" w:color="auto" w:fill="FFFFFF"/>
        </w:rPr>
      </w:pPr>
      <w:r w:rsidRPr="001E5554">
        <w:rPr>
          <w:rFonts w:asciiTheme="minorHAnsi" w:hAnsiTheme="minorHAnsi" w:cs="Tahoma"/>
          <w:color w:val="000000"/>
          <w:sz w:val="24"/>
          <w:szCs w:val="24"/>
          <w:shd w:val="clear" w:color="auto" w:fill="FFFFFF"/>
        </w:rPr>
        <w:t xml:space="preserve">While treatment may depend on a variety of factors, linkage to care for patients with chronic HCV infection should be as timely as possible.  IHS sites should determine what is the best course of action for linkage to care that are the most feasible for their patients, based on the </w:t>
      </w:r>
      <w:r w:rsidRPr="001E5554">
        <w:rPr>
          <w:rFonts w:asciiTheme="minorHAnsi" w:hAnsiTheme="minorHAnsi" w:cs="Tahoma"/>
          <w:color w:val="000000"/>
          <w:sz w:val="24"/>
          <w:szCs w:val="24"/>
          <w:shd w:val="clear" w:color="auto" w:fill="FFFFFF"/>
        </w:rPr>
        <w:lastRenderedPageBreak/>
        <w:t>overall case load an</w:t>
      </w:r>
      <w:r w:rsidR="008D2886">
        <w:rPr>
          <w:rFonts w:asciiTheme="minorHAnsi" w:hAnsiTheme="minorHAnsi" w:cs="Tahoma"/>
          <w:color w:val="000000"/>
          <w:sz w:val="24"/>
          <w:szCs w:val="24"/>
          <w:shd w:val="clear" w:color="auto" w:fill="FFFFFF"/>
        </w:rPr>
        <w:t>d</w:t>
      </w:r>
      <w:r w:rsidRPr="001E5554">
        <w:rPr>
          <w:rFonts w:asciiTheme="minorHAnsi" w:hAnsiTheme="minorHAnsi" w:cs="Tahoma"/>
          <w:color w:val="000000"/>
          <w:sz w:val="24"/>
          <w:szCs w:val="24"/>
          <w:shd w:val="clear" w:color="auto" w:fill="FFFFFF"/>
        </w:rPr>
        <w:t xml:space="preserve"> acuity.  Linkage to care can entail multiple options such as external referrals to specialists, or treatment within the facility with on-site (visiting specialist clinic) or remote specialist support (e.g. telehealth) for primary care clinician-led HCV treatment programs.</w:t>
      </w:r>
    </w:p>
    <w:p w14:paraId="342C15AC" w14:textId="77777777" w:rsidR="00F8756D" w:rsidRDefault="00096D00" w:rsidP="000853F8">
      <w:pPr>
        <w:rPr>
          <w:sz w:val="24"/>
        </w:rPr>
      </w:pPr>
      <w:r w:rsidRPr="004F632C">
        <w:rPr>
          <w:sz w:val="24"/>
        </w:rPr>
        <w:t>All HCV-confirmed patients should be counseled in regards to reducing the risk for spread of HCV infection, the risks for sexual partners, and the avoidance of hepatotoxic substances (OTC and prescription drugs, alcohol, and supplement use).</w:t>
      </w:r>
    </w:p>
    <w:p w14:paraId="2DC0C03E" w14:textId="61E3662F" w:rsidR="000853F8" w:rsidRDefault="000853F8" w:rsidP="000853F8">
      <w:pPr>
        <w:rPr>
          <w:rFonts w:asciiTheme="minorHAnsi" w:hAnsiTheme="minorHAnsi"/>
          <w:sz w:val="24"/>
          <w:szCs w:val="24"/>
        </w:rPr>
      </w:pPr>
      <w:r w:rsidRPr="001E5554">
        <w:rPr>
          <w:rFonts w:asciiTheme="minorHAnsi" w:hAnsiTheme="minorHAnsi"/>
          <w:sz w:val="24"/>
          <w:szCs w:val="24"/>
        </w:rPr>
        <w:t>When appropriate, clinicians should counsel patients on weight loss and diet</w:t>
      </w:r>
      <w:r w:rsidR="00096D00">
        <w:rPr>
          <w:rFonts w:asciiTheme="minorHAnsi" w:hAnsiTheme="minorHAnsi"/>
          <w:sz w:val="24"/>
          <w:szCs w:val="24"/>
        </w:rPr>
        <w:t>.</w:t>
      </w:r>
      <w:r w:rsidR="00F8756D">
        <w:rPr>
          <w:rFonts w:asciiTheme="minorHAnsi" w:hAnsiTheme="minorHAnsi"/>
          <w:sz w:val="24"/>
          <w:szCs w:val="24"/>
        </w:rPr>
        <w:t xml:space="preserve"> </w:t>
      </w:r>
      <w:r w:rsidRPr="001E5554">
        <w:rPr>
          <w:rFonts w:asciiTheme="minorHAnsi" w:hAnsiTheme="minorHAnsi"/>
          <w:sz w:val="24"/>
          <w:szCs w:val="24"/>
        </w:rPr>
        <w:t>Clinicians should advise patients about all restrictions and/or considerations before patients begin treatment.</w:t>
      </w:r>
      <w:r w:rsidR="005E09B2" w:rsidRPr="005E09B2">
        <w:rPr>
          <w:rFonts w:asciiTheme="minorHAnsi" w:hAnsiTheme="minorHAnsi"/>
          <w:sz w:val="24"/>
          <w:szCs w:val="24"/>
        </w:rPr>
        <w:t xml:space="preserve"> </w:t>
      </w:r>
      <w:r w:rsidR="005E09B2">
        <w:rPr>
          <w:rFonts w:asciiTheme="minorHAnsi" w:hAnsiTheme="minorHAnsi"/>
          <w:sz w:val="24"/>
          <w:szCs w:val="24"/>
        </w:rPr>
        <w:t>A pre</w:t>
      </w:r>
      <w:r w:rsidR="0062044D">
        <w:rPr>
          <w:rFonts w:asciiTheme="minorHAnsi" w:hAnsiTheme="minorHAnsi"/>
          <w:sz w:val="24"/>
          <w:szCs w:val="24"/>
        </w:rPr>
        <w:t>-</w:t>
      </w:r>
      <w:r w:rsidR="005E09B2">
        <w:rPr>
          <w:rFonts w:asciiTheme="minorHAnsi" w:hAnsiTheme="minorHAnsi"/>
          <w:sz w:val="24"/>
          <w:szCs w:val="24"/>
        </w:rPr>
        <w:t xml:space="preserve">treatment checklist is in the appendix of this policy. </w:t>
      </w:r>
    </w:p>
    <w:p w14:paraId="1726E3EF" w14:textId="77777777" w:rsidR="005F42C2" w:rsidRPr="005F42C2" w:rsidRDefault="005F42C2" w:rsidP="005F42C2">
      <w:pPr>
        <w:rPr>
          <w:rFonts w:asciiTheme="minorHAnsi" w:hAnsiTheme="minorHAnsi"/>
          <w:sz w:val="24"/>
          <w:szCs w:val="24"/>
        </w:rPr>
      </w:pPr>
      <w:r w:rsidRPr="005F42C2">
        <w:rPr>
          <w:rStyle w:val="Heading3Char"/>
          <w:rFonts w:asciiTheme="minorHAnsi" w:hAnsiTheme="minorHAnsi"/>
          <w:sz w:val="24"/>
          <w:szCs w:val="24"/>
        </w:rPr>
        <w:t>Approach to Monitoring After Receiving HCV Therapy:</w:t>
      </w:r>
      <w:r w:rsidRPr="005F42C2">
        <w:rPr>
          <w:rFonts w:asciiTheme="minorHAnsi" w:hAnsiTheme="minorHAnsi"/>
          <w:sz w:val="24"/>
          <w:szCs w:val="24"/>
        </w:rPr>
        <w:t xml:space="preserve"> </w:t>
      </w:r>
    </w:p>
    <w:p w14:paraId="4D709881" w14:textId="6BD11621" w:rsidR="005F42C2" w:rsidRPr="005F42C2" w:rsidRDefault="005F42C2" w:rsidP="005F42C2">
      <w:pPr>
        <w:rPr>
          <w:rFonts w:asciiTheme="minorHAnsi" w:hAnsiTheme="minorHAnsi"/>
          <w:sz w:val="24"/>
          <w:szCs w:val="24"/>
        </w:rPr>
      </w:pPr>
      <w:r w:rsidRPr="005F42C2">
        <w:rPr>
          <w:rFonts w:asciiTheme="minorHAnsi" w:hAnsiTheme="minorHAnsi"/>
          <w:sz w:val="24"/>
          <w:szCs w:val="24"/>
        </w:rPr>
        <w:t>The approach to monitoring patients following completion of a course of HCV therapy depends entirely on the patient's response to therapy. Three main scenarios exist: (a) the patient achieved an SVR, (b</w:t>
      </w:r>
      <w:r w:rsidRPr="0043792E">
        <w:rPr>
          <w:rFonts w:asciiTheme="minorHAnsi" w:hAnsiTheme="minorHAnsi"/>
          <w:sz w:val="24"/>
          <w:szCs w:val="24"/>
        </w:rPr>
        <w:t>) the patient completed therapy but did not achieve an SVR, or (c) the patient had an inadequate treatment course because of adherence problems, intolerance, or laboratory toxicity necessitating premature discontinuation of the treatment regimen.</w:t>
      </w:r>
    </w:p>
    <w:p w14:paraId="73976C3F" w14:textId="762003FB" w:rsidR="005F42C2" w:rsidRPr="0010247A" w:rsidRDefault="005F42C2" w:rsidP="005F42C2">
      <w:pPr>
        <w:rPr>
          <w:i/>
          <w:iCs/>
          <w:color w:val="808080" w:themeColor="text1" w:themeTint="7F"/>
          <w:sz w:val="24"/>
          <w:szCs w:val="24"/>
        </w:rPr>
      </w:pPr>
      <w:r w:rsidRPr="005F42C2">
        <w:rPr>
          <w:rStyle w:val="SubtleEmphasis"/>
          <w:sz w:val="24"/>
          <w:szCs w:val="24"/>
        </w:rPr>
        <w:t>Monitoring Patients who Achieved an SVR</w:t>
      </w:r>
      <w:r>
        <w:rPr>
          <w:rStyle w:val="SubtleEmphasis"/>
          <w:sz w:val="24"/>
          <w:szCs w:val="24"/>
        </w:rPr>
        <w:t xml:space="preserve">: </w:t>
      </w:r>
      <w:r w:rsidRPr="005F42C2">
        <w:rPr>
          <w:rFonts w:asciiTheme="minorHAnsi" w:hAnsiTheme="minorHAnsi"/>
          <w:sz w:val="24"/>
          <w:szCs w:val="24"/>
        </w:rPr>
        <w:t xml:space="preserve">Patients who have an undetectable HCV RNA at week 12 (or later) after completing HCV therapy are considered to have achieved an SVR. In a review by Welker of 44 studies involving more than 4,228 patients who achieved an SVR with an interferon-based regimen, 97% of patients maintained the SVR during the long-term follow-up period. Some experts will obtain an HCV RNA level 24 weeks after completing treatment in selected patients. In a more recent review by </w:t>
      </w:r>
      <w:proofErr w:type="spellStart"/>
      <w:r w:rsidRPr="005F42C2">
        <w:rPr>
          <w:rFonts w:asciiTheme="minorHAnsi" w:hAnsiTheme="minorHAnsi"/>
          <w:sz w:val="24"/>
          <w:szCs w:val="24"/>
        </w:rPr>
        <w:t>Manns</w:t>
      </w:r>
      <w:proofErr w:type="spellEnd"/>
      <w:r w:rsidRPr="005F42C2">
        <w:rPr>
          <w:rFonts w:asciiTheme="minorHAnsi" w:hAnsiTheme="minorHAnsi"/>
          <w:sz w:val="24"/>
          <w:szCs w:val="24"/>
        </w:rPr>
        <w:t xml:space="preserve">, more than 99.2% of 1002 patients who achieved an SVR12 with interferon- or </w:t>
      </w:r>
      <w:proofErr w:type="spellStart"/>
      <w:r w:rsidRPr="005F42C2">
        <w:rPr>
          <w:rFonts w:asciiTheme="minorHAnsi" w:hAnsiTheme="minorHAnsi"/>
          <w:sz w:val="24"/>
          <w:szCs w:val="24"/>
        </w:rPr>
        <w:t>peginterferon</w:t>
      </w:r>
      <w:proofErr w:type="spellEnd"/>
      <w:r w:rsidRPr="005F42C2">
        <w:rPr>
          <w:rFonts w:asciiTheme="minorHAnsi" w:hAnsiTheme="minorHAnsi"/>
          <w:sz w:val="24"/>
          <w:szCs w:val="24"/>
        </w:rPr>
        <w:t>-based therapy maintained undetectable HCV RNA levels for 5 years. Comparable data on the long-term durability of treatment response with all-oral DAA therapy is not yet available</w:t>
      </w:r>
      <w:r w:rsidRPr="0043792E">
        <w:rPr>
          <w:rFonts w:asciiTheme="minorHAnsi" w:hAnsiTheme="minorHAnsi"/>
          <w:sz w:val="24"/>
          <w:szCs w:val="24"/>
        </w:rPr>
        <w:t xml:space="preserve">, but it is generally thought that SVR12 responses will represent sustained HCV clearance similar to that seen with interferon-based therapy. All patients who achieve an SVR should clearly understand they are not immune to HCV and can become </w:t>
      </w:r>
      <w:proofErr w:type="spellStart"/>
      <w:r w:rsidRPr="0043792E">
        <w:rPr>
          <w:rFonts w:asciiTheme="minorHAnsi" w:hAnsiTheme="minorHAnsi"/>
          <w:sz w:val="24"/>
          <w:szCs w:val="24"/>
        </w:rPr>
        <w:t>reinfected</w:t>
      </w:r>
      <w:proofErr w:type="spellEnd"/>
      <w:r w:rsidRPr="0043792E">
        <w:rPr>
          <w:rFonts w:asciiTheme="minorHAnsi" w:hAnsiTheme="minorHAnsi"/>
          <w:sz w:val="24"/>
          <w:szCs w:val="24"/>
        </w:rPr>
        <w:t xml:space="preserve"> wit</w:t>
      </w:r>
      <w:r w:rsidRPr="0010247A">
        <w:rPr>
          <w:rFonts w:asciiTheme="minorHAnsi" w:hAnsiTheme="minorHAnsi"/>
          <w:sz w:val="24"/>
          <w:szCs w:val="24"/>
        </w:rPr>
        <w:t xml:space="preserve">h HCV. The AASLD/IDSA Guidance stratifies the follow-up for persons who achieve an SVR </w:t>
      </w:r>
      <w:r w:rsidRPr="00F8756D">
        <w:rPr>
          <w:rFonts w:asciiTheme="minorHAnsi" w:hAnsiTheme="minorHAnsi"/>
          <w:sz w:val="24"/>
          <w:szCs w:val="24"/>
        </w:rPr>
        <w:t>based on the degree of hepatic fibrosis and the risk of developing reinfection.</w:t>
      </w:r>
    </w:p>
    <w:p w14:paraId="3EB80A22" w14:textId="08D09AD8" w:rsidR="0043792E" w:rsidRDefault="005F42C2" w:rsidP="0010247A">
      <w:pPr>
        <w:pStyle w:val="ListParagraph"/>
        <w:numPr>
          <w:ilvl w:val="0"/>
          <w:numId w:val="13"/>
        </w:numPr>
        <w:rPr>
          <w:rFonts w:asciiTheme="minorHAnsi" w:hAnsiTheme="minorHAnsi"/>
          <w:sz w:val="24"/>
          <w:szCs w:val="24"/>
        </w:rPr>
      </w:pPr>
      <w:r w:rsidRPr="0010247A">
        <w:rPr>
          <w:rFonts w:asciiTheme="minorHAnsi" w:hAnsiTheme="minorHAnsi"/>
          <w:sz w:val="24"/>
          <w:szCs w:val="24"/>
        </w:rPr>
        <w:t xml:space="preserve">Patients with </w:t>
      </w:r>
      <w:r w:rsidR="00F20A8A">
        <w:rPr>
          <w:rFonts w:asciiTheme="minorHAnsi" w:hAnsiTheme="minorHAnsi"/>
          <w:sz w:val="24"/>
          <w:szCs w:val="24"/>
        </w:rPr>
        <w:t>without advanced</w:t>
      </w:r>
      <w:r w:rsidR="00F20A8A" w:rsidRPr="0010247A">
        <w:rPr>
          <w:rFonts w:asciiTheme="minorHAnsi" w:hAnsiTheme="minorHAnsi"/>
          <w:sz w:val="24"/>
          <w:szCs w:val="24"/>
        </w:rPr>
        <w:t xml:space="preserve"> </w:t>
      </w:r>
      <w:r w:rsidR="00F20A8A">
        <w:rPr>
          <w:rFonts w:asciiTheme="minorHAnsi" w:hAnsiTheme="minorHAnsi"/>
          <w:sz w:val="24"/>
          <w:szCs w:val="24"/>
        </w:rPr>
        <w:t>f</w:t>
      </w:r>
      <w:r w:rsidRPr="0010247A">
        <w:rPr>
          <w:rFonts w:asciiTheme="minorHAnsi" w:hAnsiTheme="minorHAnsi"/>
          <w:sz w:val="24"/>
          <w:szCs w:val="24"/>
        </w:rPr>
        <w:t>ibrosis (</w:t>
      </w:r>
      <w:proofErr w:type="spellStart"/>
      <w:r w:rsidR="00F20A8A">
        <w:rPr>
          <w:rFonts w:asciiTheme="minorHAnsi" w:hAnsiTheme="minorHAnsi"/>
          <w:sz w:val="24"/>
          <w:szCs w:val="24"/>
        </w:rPr>
        <w:t>Metavir</w:t>
      </w:r>
      <w:proofErr w:type="spellEnd"/>
      <w:r w:rsidR="00F20A8A">
        <w:rPr>
          <w:rFonts w:asciiTheme="minorHAnsi" w:hAnsiTheme="minorHAnsi"/>
          <w:sz w:val="24"/>
          <w:szCs w:val="24"/>
        </w:rPr>
        <w:t xml:space="preserve"> stage </w:t>
      </w:r>
      <w:r w:rsidRPr="0010247A">
        <w:rPr>
          <w:rFonts w:asciiTheme="minorHAnsi" w:hAnsiTheme="minorHAnsi"/>
          <w:sz w:val="24"/>
          <w:szCs w:val="24"/>
        </w:rPr>
        <w:t xml:space="preserve">F0-F2): These patients do not need special monitoring or follow-up specifically for </w:t>
      </w:r>
      <w:r w:rsidR="00595919">
        <w:rPr>
          <w:rFonts w:asciiTheme="minorHAnsi" w:hAnsiTheme="minorHAnsi"/>
          <w:sz w:val="24"/>
          <w:szCs w:val="24"/>
        </w:rPr>
        <w:t>HCV</w:t>
      </w:r>
      <w:r w:rsidRPr="0010247A">
        <w:rPr>
          <w:rFonts w:asciiTheme="minorHAnsi" w:hAnsiTheme="minorHAnsi"/>
          <w:sz w:val="24"/>
          <w:szCs w:val="24"/>
        </w:rPr>
        <w:t xml:space="preserve"> or liver care. This recommendation is based on data that show patients with SVR following </w:t>
      </w:r>
      <w:r w:rsidR="00595919">
        <w:rPr>
          <w:rFonts w:asciiTheme="minorHAnsi" w:hAnsiTheme="minorHAnsi"/>
          <w:sz w:val="24"/>
          <w:szCs w:val="24"/>
        </w:rPr>
        <w:t>HCV</w:t>
      </w:r>
      <w:r w:rsidRPr="0010247A">
        <w:rPr>
          <w:rFonts w:asciiTheme="minorHAnsi" w:hAnsiTheme="minorHAnsi"/>
          <w:sz w:val="24"/>
          <w:szCs w:val="24"/>
        </w:rPr>
        <w:t xml:space="preserve"> treatment generally do not have further progression of HCV-related liver fibrosis.</w:t>
      </w:r>
    </w:p>
    <w:p w14:paraId="3BEDA5B7" w14:textId="2115AFF7" w:rsidR="0010247A" w:rsidRDefault="005F42C2" w:rsidP="0010247A">
      <w:pPr>
        <w:pStyle w:val="ListParagraph"/>
        <w:numPr>
          <w:ilvl w:val="0"/>
          <w:numId w:val="13"/>
        </w:numPr>
        <w:rPr>
          <w:rFonts w:asciiTheme="minorHAnsi" w:hAnsiTheme="minorHAnsi"/>
          <w:sz w:val="24"/>
          <w:szCs w:val="24"/>
        </w:rPr>
      </w:pPr>
      <w:r w:rsidRPr="0043792E">
        <w:rPr>
          <w:rFonts w:asciiTheme="minorHAnsi" w:hAnsiTheme="minorHAnsi"/>
          <w:sz w:val="24"/>
          <w:szCs w:val="24"/>
        </w:rPr>
        <w:lastRenderedPageBreak/>
        <w:t>Patients with Advanced Fibrosis (</w:t>
      </w:r>
      <w:proofErr w:type="spellStart"/>
      <w:r w:rsidR="00F20A8A">
        <w:rPr>
          <w:rFonts w:asciiTheme="minorHAnsi" w:hAnsiTheme="minorHAnsi"/>
          <w:sz w:val="24"/>
          <w:szCs w:val="24"/>
        </w:rPr>
        <w:t>Metavir</w:t>
      </w:r>
      <w:proofErr w:type="spellEnd"/>
      <w:r w:rsidR="00F20A8A">
        <w:rPr>
          <w:rFonts w:asciiTheme="minorHAnsi" w:hAnsiTheme="minorHAnsi"/>
          <w:sz w:val="24"/>
          <w:szCs w:val="24"/>
        </w:rPr>
        <w:t xml:space="preserve"> stage </w:t>
      </w:r>
      <w:r w:rsidRPr="0043792E">
        <w:rPr>
          <w:rFonts w:asciiTheme="minorHAnsi" w:hAnsiTheme="minorHAnsi"/>
          <w:sz w:val="24"/>
          <w:szCs w:val="24"/>
        </w:rPr>
        <w:t>F3-F4): Although fibrosis may improve in these patients, they are considered to have persistent risk, albeit lower than before achieving an SVR, for developing hepatocellular carcinoma. Accordingly, these patients should have surveillance for hepatocellu</w:t>
      </w:r>
      <w:r w:rsidRPr="0010247A">
        <w:rPr>
          <w:rFonts w:asciiTheme="minorHAnsi" w:hAnsiTheme="minorHAnsi"/>
          <w:sz w:val="24"/>
          <w:szCs w:val="24"/>
        </w:rPr>
        <w:t>lar carcinoma (HCC) with hepatic ultrasound every 6 months. In addition, patients with cirrhosis (F4 fibrosis) should have a baseline upper endoscopy to screen for varices, unless this has previously been done. Patients identified with varices should receive appropriate management and follow-up.</w:t>
      </w:r>
    </w:p>
    <w:p w14:paraId="151CE1DA" w14:textId="77777777" w:rsidR="0010247A" w:rsidRDefault="005F42C2" w:rsidP="0010247A">
      <w:pPr>
        <w:pStyle w:val="ListParagraph"/>
        <w:numPr>
          <w:ilvl w:val="0"/>
          <w:numId w:val="13"/>
        </w:numPr>
        <w:rPr>
          <w:rFonts w:asciiTheme="minorHAnsi" w:hAnsiTheme="minorHAnsi"/>
          <w:sz w:val="24"/>
          <w:szCs w:val="24"/>
        </w:rPr>
      </w:pPr>
      <w:r w:rsidRPr="0010247A">
        <w:rPr>
          <w:sz w:val="24"/>
          <w:szCs w:val="24"/>
        </w:rPr>
        <w:t>Patients with Ongoing Risk of HCV Reinfection: Regardless of the</w:t>
      </w:r>
      <w:r w:rsidRPr="0010247A">
        <w:rPr>
          <w:rFonts w:asciiTheme="minorHAnsi" w:hAnsiTheme="minorHAnsi"/>
          <w:sz w:val="24"/>
          <w:szCs w:val="24"/>
        </w:rPr>
        <w:t xml:space="preserve"> degree of hepatic fibrosis, all patients with ongoing risk for acquiring HCV should have periodic assessment for HCV reinfection and counseling on prevention of reinfection. Obtaining HCV antibody does not provide useful information in these individuals with known prior HCV infection since they are highly likely to remain antibody positive. Thus, reassessment should consist of a quantitative HCV RNA level. In addition, for these patients, any flare in liver enzyme tests should prompt evaluation for reinfection with a quantitative HCV RNA level.</w:t>
      </w:r>
    </w:p>
    <w:p w14:paraId="7FD990CB" w14:textId="101135C0" w:rsidR="005F42C2" w:rsidRPr="0010247A" w:rsidRDefault="005F42C2" w:rsidP="0010247A">
      <w:pPr>
        <w:pStyle w:val="ListParagraph"/>
        <w:numPr>
          <w:ilvl w:val="0"/>
          <w:numId w:val="13"/>
        </w:numPr>
        <w:rPr>
          <w:rFonts w:asciiTheme="minorHAnsi" w:hAnsiTheme="minorHAnsi"/>
          <w:sz w:val="24"/>
          <w:szCs w:val="24"/>
        </w:rPr>
      </w:pPr>
      <w:r w:rsidRPr="0010247A">
        <w:rPr>
          <w:rFonts w:asciiTheme="minorHAnsi" w:hAnsiTheme="minorHAnsi"/>
          <w:sz w:val="24"/>
          <w:szCs w:val="24"/>
        </w:rPr>
        <w:t>Patients with Persistently Abnormal Liver Tests: Any patient that develops persistently elevated liver tests should undergo evaluation for possible other causes of liver disease, such as alcohol use, iron overload, or fatty liver disease.</w:t>
      </w:r>
    </w:p>
    <w:p w14:paraId="7DBD34DE" w14:textId="77777777" w:rsidR="0010247A" w:rsidRDefault="005F42C2" w:rsidP="005F42C2">
      <w:pPr>
        <w:rPr>
          <w:rFonts w:asciiTheme="minorHAnsi" w:hAnsiTheme="minorHAnsi"/>
          <w:sz w:val="24"/>
          <w:szCs w:val="24"/>
        </w:rPr>
      </w:pPr>
      <w:r w:rsidRPr="0010247A">
        <w:rPr>
          <w:rFonts w:asciiTheme="minorHAnsi" w:hAnsiTheme="minorHAnsi"/>
          <w:sz w:val="24"/>
          <w:szCs w:val="24"/>
        </w:rPr>
        <w:t xml:space="preserve">Monitoring for Patients who do not Achieve SVR: The AASLD/IDSA guidance recommends the following for patients who did not achieve an SVR with HCV therapy. </w:t>
      </w:r>
    </w:p>
    <w:p w14:paraId="08C6D539" w14:textId="30521DA3" w:rsidR="0010247A" w:rsidRDefault="005F42C2" w:rsidP="0010247A">
      <w:pPr>
        <w:pStyle w:val="ListParagraph"/>
        <w:numPr>
          <w:ilvl w:val="0"/>
          <w:numId w:val="14"/>
        </w:numPr>
        <w:rPr>
          <w:rFonts w:asciiTheme="minorHAnsi" w:hAnsiTheme="minorHAnsi"/>
          <w:sz w:val="24"/>
          <w:szCs w:val="24"/>
        </w:rPr>
      </w:pPr>
      <w:r w:rsidRPr="0010247A">
        <w:rPr>
          <w:rFonts w:asciiTheme="minorHAnsi" w:hAnsiTheme="minorHAnsi"/>
          <w:sz w:val="24"/>
          <w:szCs w:val="24"/>
        </w:rPr>
        <w:t>All Patients: For all patients who did not achieve an SVR, follow-up laboratory testing should occur every 6 to 12 months with a hepatic function panel, complete blood count, and international normalized ratio. In addition, these patients should have periodic reevaluation for retreatment, especially as new options become available. It is important these patients receive counseling for alcohol abstinence (or safe use) and avoidance of hepat</w:t>
      </w:r>
      <w:r w:rsidR="00BB3BD3">
        <w:rPr>
          <w:rFonts w:asciiTheme="minorHAnsi" w:hAnsiTheme="minorHAnsi"/>
          <w:sz w:val="24"/>
          <w:szCs w:val="24"/>
        </w:rPr>
        <w:t>ot</w:t>
      </w:r>
      <w:r w:rsidRPr="0010247A">
        <w:rPr>
          <w:rFonts w:asciiTheme="minorHAnsi" w:hAnsiTheme="minorHAnsi"/>
          <w:sz w:val="24"/>
          <w:szCs w:val="24"/>
        </w:rPr>
        <w:t>oxic medications.</w:t>
      </w:r>
    </w:p>
    <w:p w14:paraId="6CEC4D1D" w14:textId="17B28E84" w:rsidR="005F42C2" w:rsidRPr="0010247A" w:rsidRDefault="005F42C2" w:rsidP="0010247A">
      <w:pPr>
        <w:pStyle w:val="ListParagraph"/>
        <w:numPr>
          <w:ilvl w:val="0"/>
          <w:numId w:val="14"/>
        </w:numPr>
        <w:rPr>
          <w:rFonts w:asciiTheme="minorHAnsi" w:hAnsiTheme="minorHAnsi"/>
          <w:sz w:val="24"/>
          <w:szCs w:val="24"/>
        </w:rPr>
      </w:pPr>
      <w:r w:rsidRPr="0010247A">
        <w:rPr>
          <w:rFonts w:asciiTheme="minorHAnsi" w:hAnsiTheme="minorHAnsi"/>
          <w:sz w:val="24"/>
          <w:szCs w:val="24"/>
        </w:rPr>
        <w:t>Patients with Advanced Fibrosis (</w:t>
      </w:r>
      <w:proofErr w:type="spellStart"/>
      <w:r w:rsidR="00F20A8A">
        <w:rPr>
          <w:rFonts w:asciiTheme="minorHAnsi" w:hAnsiTheme="minorHAnsi"/>
          <w:sz w:val="24"/>
          <w:szCs w:val="24"/>
        </w:rPr>
        <w:t>Metavir</w:t>
      </w:r>
      <w:proofErr w:type="spellEnd"/>
      <w:r w:rsidR="00F20A8A">
        <w:rPr>
          <w:rFonts w:asciiTheme="minorHAnsi" w:hAnsiTheme="minorHAnsi"/>
          <w:sz w:val="24"/>
          <w:szCs w:val="24"/>
        </w:rPr>
        <w:t xml:space="preserve"> Stage </w:t>
      </w:r>
      <w:r w:rsidRPr="0010247A">
        <w:rPr>
          <w:rFonts w:asciiTheme="minorHAnsi" w:hAnsiTheme="minorHAnsi"/>
          <w:sz w:val="24"/>
          <w:szCs w:val="24"/>
        </w:rPr>
        <w:t>F3-F4): These patients should have surveillance for hepatocellular carcinoma with hepatic ultrasound every 6 months. In addition, patients with cirrhosis (F4 fibrosis) should have a baseline upper endoscopy to screen for varices, unless this has previously been done. Patients identified with varices should receive appropriate management and follow-up.</w:t>
      </w:r>
    </w:p>
    <w:p w14:paraId="34D40B6A" w14:textId="7B6C433B" w:rsidR="000853F8" w:rsidRPr="001E5554" w:rsidRDefault="000853F8" w:rsidP="000853F8">
      <w:pPr>
        <w:pStyle w:val="Heading2"/>
        <w:rPr>
          <w:rFonts w:asciiTheme="minorHAnsi" w:hAnsiTheme="minorHAnsi"/>
          <w:sz w:val="24"/>
          <w:szCs w:val="24"/>
        </w:rPr>
      </w:pPr>
      <w:r w:rsidRPr="001E5554">
        <w:rPr>
          <w:rFonts w:asciiTheme="minorHAnsi" w:hAnsiTheme="minorHAnsi"/>
          <w:sz w:val="24"/>
          <w:szCs w:val="24"/>
        </w:rPr>
        <w:t>Reporting</w:t>
      </w:r>
    </w:p>
    <w:p w14:paraId="0A5B6669" w14:textId="77777777" w:rsidR="000853F8" w:rsidRPr="001E5554" w:rsidRDefault="000853F8" w:rsidP="000853F8">
      <w:pPr>
        <w:numPr>
          <w:ilvl w:val="0"/>
          <w:numId w:val="2"/>
        </w:numPr>
        <w:spacing w:after="120"/>
        <w:ind w:left="274" w:hanging="274"/>
        <w:rPr>
          <w:rFonts w:asciiTheme="minorHAnsi" w:hAnsiTheme="minorHAnsi"/>
          <w:sz w:val="24"/>
          <w:szCs w:val="24"/>
        </w:rPr>
      </w:pPr>
      <w:r w:rsidRPr="001E5554">
        <w:rPr>
          <w:rFonts w:asciiTheme="minorHAnsi" w:hAnsiTheme="minorHAnsi"/>
          <w:sz w:val="24"/>
          <w:szCs w:val="24"/>
        </w:rPr>
        <w:t xml:space="preserve"> Health providers in </w:t>
      </w:r>
      <w:r w:rsidRPr="001E5554">
        <w:rPr>
          <w:rFonts w:asciiTheme="minorHAnsi" w:hAnsiTheme="minorHAnsi"/>
          <w:sz w:val="24"/>
          <w:szCs w:val="24"/>
        </w:rPr>
        <w:fldChar w:fldCharType="begin">
          <w:ffData>
            <w:name w:val="Text4"/>
            <w:enabled/>
            <w:calcOnExit w:val="0"/>
            <w:textInput/>
          </w:ffData>
        </w:fldChar>
      </w:r>
      <w:bookmarkStart w:id="7" w:name="Text4"/>
      <w:r w:rsidRPr="001E5554">
        <w:rPr>
          <w:rFonts w:asciiTheme="minorHAnsi" w:hAnsiTheme="minorHAnsi"/>
          <w:sz w:val="24"/>
          <w:szCs w:val="24"/>
        </w:rPr>
        <w:instrText xml:space="preserve"> FORMTEXT </w:instrText>
      </w:r>
      <w:r w:rsidRPr="001E5554">
        <w:rPr>
          <w:rFonts w:asciiTheme="minorHAnsi" w:hAnsiTheme="minorHAnsi"/>
          <w:sz w:val="24"/>
          <w:szCs w:val="24"/>
        </w:rPr>
      </w:r>
      <w:r w:rsidRPr="001E5554">
        <w:rPr>
          <w:rFonts w:asciiTheme="minorHAnsi" w:hAnsiTheme="minorHAnsi"/>
          <w:sz w:val="24"/>
          <w:szCs w:val="24"/>
        </w:rPr>
        <w:fldChar w:fldCharType="separate"/>
      </w:r>
      <w:r w:rsidRPr="001E5554">
        <w:rPr>
          <w:rFonts w:asciiTheme="minorHAnsi" w:hAnsiTheme="minorHAnsi"/>
          <w:noProof/>
          <w:sz w:val="24"/>
          <w:szCs w:val="24"/>
        </w:rPr>
        <w:t> </w:t>
      </w:r>
      <w:r w:rsidRPr="001E5554">
        <w:rPr>
          <w:rFonts w:asciiTheme="minorHAnsi" w:hAnsiTheme="minorHAnsi"/>
          <w:noProof/>
          <w:sz w:val="24"/>
          <w:szCs w:val="24"/>
        </w:rPr>
        <w:t> </w:t>
      </w:r>
      <w:r w:rsidRPr="001E5554">
        <w:rPr>
          <w:rFonts w:asciiTheme="minorHAnsi" w:hAnsiTheme="minorHAnsi"/>
          <w:noProof/>
          <w:sz w:val="24"/>
          <w:szCs w:val="24"/>
        </w:rPr>
        <w:t> </w:t>
      </w:r>
      <w:r w:rsidRPr="001E5554">
        <w:rPr>
          <w:rFonts w:asciiTheme="minorHAnsi" w:hAnsiTheme="minorHAnsi"/>
          <w:noProof/>
          <w:sz w:val="24"/>
          <w:szCs w:val="24"/>
        </w:rPr>
        <w:t> </w:t>
      </w:r>
      <w:r w:rsidRPr="001E5554">
        <w:rPr>
          <w:rFonts w:asciiTheme="minorHAnsi" w:hAnsiTheme="minorHAnsi"/>
          <w:noProof/>
          <w:sz w:val="24"/>
          <w:szCs w:val="24"/>
        </w:rPr>
        <w:t> </w:t>
      </w:r>
      <w:r w:rsidRPr="001E5554">
        <w:rPr>
          <w:rFonts w:asciiTheme="minorHAnsi" w:hAnsiTheme="minorHAnsi"/>
          <w:sz w:val="24"/>
          <w:szCs w:val="24"/>
        </w:rPr>
        <w:fldChar w:fldCharType="end"/>
      </w:r>
      <w:bookmarkEnd w:id="7"/>
      <w:r w:rsidRPr="001E5554">
        <w:rPr>
          <w:rFonts w:asciiTheme="minorHAnsi" w:hAnsiTheme="minorHAnsi"/>
          <w:sz w:val="24"/>
          <w:szCs w:val="24"/>
        </w:rPr>
        <w:t xml:space="preserve"> are required to report cases of chlamydia, gonorrhea, syphilis, genital herpes and </w:t>
      </w:r>
      <w:proofErr w:type="spellStart"/>
      <w:r w:rsidRPr="001E5554">
        <w:rPr>
          <w:rFonts w:asciiTheme="minorHAnsi" w:hAnsiTheme="minorHAnsi"/>
          <w:sz w:val="24"/>
          <w:szCs w:val="24"/>
        </w:rPr>
        <w:t>chancroid</w:t>
      </w:r>
      <w:proofErr w:type="spellEnd"/>
      <w:r w:rsidRPr="001E5554">
        <w:rPr>
          <w:rFonts w:asciiTheme="minorHAnsi" w:hAnsiTheme="minorHAnsi"/>
          <w:sz w:val="24"/>
          <w:szCs w:val="24"/>
        </w:rPr>
        <w:t xml:space="preserve"> to the local health department. </w:t>
      </w:r>
    </w:p>
    <w:p w14:paraId="2AFDAC54" w14:textId="77777777" w:rsidR="000853F8" w:rsidRPr="001E5554" w:rsidRDefault="000853F8" w:rsidP="00D972C5">
      <w:pPr>
        <w:numPr>
          <w:ilvl w:val="0"/>
          <w:numId w:val="2"/>
        </w:numPr>
        <w:spacing w:before="60" w:after="120"/>
        <w:ind w:left="270" w:hanging="270"/>
        <w:rPr>
          <w:rFonts w:asciiTheme="minorHAnsi" w:hAnsiTheme="minorHAnsi"/>
          <w:sz w:val="24"/>
          <w:szCs w:val="24"/>
        </w:rPr>
      </w:pPr>
      <w:r w:rsidRPr="001E5554">
        <w:rPr>
          <w:rFonts w:asciiTheme="minorHAnsi" w:hAnsiTheme="minorHAnsi"/>
          <w:sz w:val="24"/>
          <w:szCs w:val="24"/>
        </w:rPr>
        <w:t xml:space="preserve">STI reporting forms are available at:  </w:t>
      </w:r>
      <w:r w:rsidRPr="001E5554">
        <w:rPr>
          <w:rFonts w:asciiTheme="minorHAnsi" w:hAnsiTheme="minorHAnsi"/>
          <w:sz w:val="24"/>
          <w:szCs w:val="24"/>
        </w:rPr>
        <w:fldChar w:fldCharType="begin">
          <w:ffData>
            <w:name w:val="Text5"/>
            <w:enabled/>
            <w:calcOnExit w:val="0"/>
            <w:textInput/>
          </w:ffData>
        </w:fldChar>
      </w:r>
      <w:bookmarkStart w:id="8" w:name="Text5"/>
      <w:r w:rsidRPr="001E5554">
        <w:rPr>
          <w:rFonts w:asciiTheme="minorHAnsi" w:hAnsiTheme="minorHAnsi"/>
          <w:sz w:val="24"/>
          <w:szCs w:val="24"/>
        </w:rPr>
        <w:instrText xml:space="preserve"> FORMTEXT </w:instrText>
      </w:r>
      <w:r w:rsidRPr="001E5554">
        <w:rPr>
          <w:rFonts w:asciiTheme="minorHAnsi" w:hAnsiTheme="minorHAnsi"/>
          <w:sz w:val="24"/>
          <w:szCs w:val="24"/>
        </w:rPr>
      </w:r>
      <w:r w:rsidRPr="001E5554">
        <w:rPr>
          <w:rFonts w:asciiTheme="minorHAnsi" w:hAnsiTheme="minorHAnsi"/>
          <w:sz w:val="24"/>
          <w:szCs w:val="24"/>
        </w:rPr>
        <w:fldChar w:fldCharType="separate"/>
      </w:r>
      <w:r w:rsidRPr="001E5554">
        <w:rPr>
          <w:rFonts w:asciiTheme="minorHAnsi" w:hAnsiTheme="minorHAnsi"/>
          <w:noProof/>
          <w:sz w:val="24"/>
          <w:szCs w:val="24"/>
        </w:rPr>
        <w:t> </w:t>
      </w:r>
      <w:r w:rsidRPr="001E5554">
        <w:rPr>
          <w:rFonts w:asciiTheme="minorHAnsi" w:hAnsiTheme="minorHAnsi"/>
          <w:noProof/>
          <w:sz w:val="24"/>
          <w:szCs w:val="24"/>
        </w:rPr>
        <w:t> </w:t>
      </w:r>
      <w:r w:rsidRPr="001E5554">
        <w:rPr>
          <w:rFonts w:asciiTheme="minorHAnsi" w:hAnsiTheme="minorHAnsi"/>
          <w:noProof/>
          <w:sz w:val="24"/>
          <w:szCs w:val="24"/>
        </w:rPr>
        <w:t> </w:t>
      </w:r>
      <w:r w:rsidRPr="001E5554">
        <w:rPr>
          <w:rFonts w:asciiTheme="minorHAnsi" w:hAnsiTheme="minorHAnsi"/>
          <w:noProof/>
          <w:sz w:val="24"/>
          <w:szCs w:val="24"/>
        </w:rPr>
        <w:t> </w:t>
      </w:r>
      <w:r w:rsidRPr="001E5554">
        <w:rPr>
          <w:rFonts w:asciiTheme="minorHAnsi" w:hAnsiTheme="minorHAnsi"/>
          <w:noProof/>
          <w:sz w:val="24"/>
          <w:szCs w:val="24"/>
        </w:rPr>
        <w:t> </w:t>
      </w:r>
      <w:r w:rsidRPr="001E5554">
        <w:rPr>
          <w:rFonts w:asciiTheme="minorHAnsi" w:hAnsiTheme="minorHAnsi"/>
          <w:sz w:val="24"/>
          <w:szCs w:val="24"/>
        </w:rPr>
        <w:fldChar w:fldCharType="end"/>
      </w:r>
      <w:bookmarkEnd w:id="8"/>
      <w:r w:rsidRPr="001E5554">
        <w:rPr>
          <w:rFonts w:asciiTheme="minorHAnsi" w:hAnsiTheme="minorHAnsi"/>
          <w:sz w:val="24"/>
          <w:szCs w:val="24"/>
        </w:rPr>
        <w:t>.</w:t>
      </w:r>
    </w:p>
    <w:p w14:paraId="338AD697" w14:textId="60C8EA41" w:rsidR="00D12E99" w:rsidRPr="001E5554" w:rsidRDefault="00D12E99" w:rsidP="000853F8">
      <w:pPr>
        <w:pStyle w:val="Heading2"/>
        <w:rPr>
          <w:rFonts w:asciiTheme="minorHAnsi" w:hAnsiTheme="minorHAnsi"/>
          <w:sz w:val="24"/>
          <w:szCs w:val="24"/>
        </w:rPr>
      </w:pPr>
      <w:r w:rsidRPr="001E5554">
        <w:rPr>
          <w:rFonts w:asciiTheme="minorHAnsi" w:hAnsiTheme="minorHAnsi"/>
          <w:sz w:val="24"/>
          <w:szCs w:val="24"/>
        </w:rPr>
        <w:lastRenderedPageBreak/>
        <w:t>Questions and Resources</w:t>
      </w:r>
    </w:p>
    <w:p w14:paraId="7057274F" w14:textId="529DA05A" w:rsidR="003F7B11" w:rsidRPr="007C5D10" w:rsidRDefault="003F7B11" w:rsidP="007C5D10">
      <w:pPr>
        <w:numPr>
          <w:ilvl w:val="0"/>
          <w:numId w:val="2"/>
        </w:numPr>
        <w:spacing w:after="120"/>
        <w:rPr>
          <w:rFonts w:asciiTheme="minorHAnsi" w:hAnsiTheme="minorHAnsi"/>
          <w:sz w:val="24"/>
          <w:szCs w:val="24"/>
        </w:rPr>
      </w:pPr>
      <w:r w:rsidRPr="001E5554">
        <w:rPr>
          <w:rFonts w:asciiTheme="minorHAnsi" w:hAnsiTheme="minorHAnsi"/>
          <w:sz w:val="24"/>
          <w:szCs w:val="24"/>
        </w:rPr>
        <w:t>This sample policy can be adapted for local use.</w:t>
      </w:r>
      <w:r w:rsidR="001E2A58">
        <w:rPr>
          <w:rFonts w:asciiTheme="minorHAnsi" w:hAnsiTheme="minorHAnsi"/>
          <w:sz w:val="24"/>
          <w:szCs w:val="24"/>
        </w:rPr>
        <w:t xml:space="preserve"> </w:t>
      </w:r>
      <w:r w:rsidRPr="001E5554">
        <w:rPr>
          <w:rFonts w:asciiTheme="minorHAnsi" w:hAnsiTheme="minorHAnsi"/>
          <w:sz w:val="24"/>
          <w:szCs w:val="24"/>
        </w:rPr>
        <w:t xml:space="preserve">These documents and accompanying information sheets can be found on </w:t>
      </w:r>
      <w:r w:rsidRPr="007C5D10">
        <w:rPr>
          <w:rFonts w:asciiTheme="minorHAnsi" w:hAnsiTheme="minorHAnsi"/>
          <w:sz w:val="24"/>
          <w:szCs w:val="24"/>
        </w:rPr>
        <w:t xml:space="preserve">the </w:t>
      </w:r>
      <w:r w:rsidRPr="00244F7A">
        <w:rPr>
          <w:rFonts w:asciiTheme="minorHAnsi" w:hAnsiTheme="minorHAnsi"/>
          <w:sz w:val="24"/>
          <w:szCs w:val="24"/>
        </w:rPr>
        <w:t xml:space="preserve">IHS </w:t>
      </w:r>
      <w:r w:rsidR="005E05A7" w:rsidRPr="00244F7A">
        <w:rPr>
          <w:rFonts w:asciiTheme="minorHAnsi" w:hAnsiTheme="minorHAnsi"/>
          <w:sz w:val="24"/>
          <w:szCs w:val="24"/>
        </w:rPr>
        <w:t>HCV</w:t>
      </w:r>
      <w:r w:rsidR="000853F8" w:rsidRPr="00244F7A">
        <w:rPr>
          <w:rFonts w:asciiTheme="minorHAnsi" w:hAnsiTheme="minorHAnsi"/>
          <w:sz w:val="24"/>
          <w:szCs w:val="24"/>
        </w:rPr>
        <w:t xml:space="preserve"> Program website</w:t>
      </w:r>
      <w:r w:rsidR="007C5D10">
        <w:rPr>
          <w:rFonts w:asciiTheme="minorHAnsi" w:hAnsiTheme="minorHAnsi"/>
          <w:sz w:val="24"/>
          <w:szCs w:val="24"/>
        </w:rPr>
        <w:t xml:space="preserve">: </w:t>
      </w:r>
      <w:r w:rsidR="007C5D10" w:rsidRPr="007C5D10">
        <w:rPr>
          <w:rFonts w:asciiTheme="minorHAnsi" w:hAnsiTheme="minorHAnsi"/>
          <w:sz w:val="24"/>
          <w:szCs w:val="24"/>
        </w:rPr>
        <w:t>https://www.ihs.gov/Epi/index.cfm?module=epi_hepatitis_resources</w:t>
      </w:r>
      <w:r w:rsidRPr="007C5D10">
        <w:rPr>
          <w:rFonts w:asciiTheme="minorHAnsi" w:hAnsiTheme="minorHAnsi"/>
          <w:sz w:val="24"/>
          <w:szCs w:val="24"/>
        </w:rPr>
        <w:t xml:space="preserve">. </w:t>
      </w:r>
    </w:p>
    <w:p w14:paraId="5A8BF457" w14:textId="5DC0879C" w:rsidR="00D12E99" w:rsidRPr="001E5554" w:rsidRDefault="00D12E99" w:rsidP="00375A69">
      <w:pPr>
        <w:numPr>
          <w:ilvl w:val="0"/>
          <w:numId w:val="2"/>
        </w:numPr>
        <w:spacing w:after="120"/>
        <w:ind w:left="274" w:hanging="274"/>
        <w:rPr>
          <w:rFonts w:asciiTheme="minorHAnsi" w:hAnsiTheme="minorHAnsi"/>
          <w:sz w:val="24"/>
          <w:szCs w:val="24"/>
        </w:rPr>
      </w:pPr>
      <w:r w:rsidRPr="001E5554">
        <w:rPr>
          <w:rFonts w:asciiTheme="minorHAnsi" w:hAnsiTheme="minorHAnsi"/>
          <w:sz w:val="24"/>
          <w:szCs w:val="24"/>
        </w:rPr>
        <w:t xml:space="preserve">Questions regarding </w:t>
      </w:r>
      <w:r w:rsidR="000853F8" w:rsidRPr="001E5554">
        <w:rPr>
          <w:rFonts w:asciiTheme="minorHAnsi" w:hAnsiTheme="minorHAnsi"/>
          <w:sz w:val="24"/>
          <w:szCs w:val="24"/>
        </w:rPr>
        <w:t>HCV</w:t>
      </w:r>
      <w:r w:rsidRPr="001E5554">
        <w:rPr>
          <w:rFonts w:asciiTheme="minorHAnsi" w:hAnsiTheme="minorHAnsi"/>
          <w:sz w:val="24"/>
          <w:szCs w:val="24"/>
        </w:rPr>
        <w:t xml:space="preserve"> diagnosis, treatment, patient and partner follow-up, and reporting should be directed to the appropriate local tribal health department or to the respective state </w:t>
      </w:r>
      <w:r w:rsidR="000853F8" w:rsidRPr="001E5554">
        <w:rPr>
          <w:rFonts w:asciiTheme="minorHAnsi" w:hAnsiTheme="minorHAnsi"/>
          <w:sz w:val="24"/>
          <w:szCs w:val="24"/>
        </w:rPr>
        <w:t>HCV</w:t>
      </w:r>
      <w:r w:rsidRPr="001E5554">
        <w:rPr>
          <w:rFonts w:asciiTheme="minorHAnsi" w:hAnsiTheme="minorHAnsi"/>
          <w:sz w:val="24"/>
          <w:szCs w:val="24"/>
        </w:rPr>
        <w:t xml:space="preserve"> program.</w:t>
      </w:r>
    </w:p>
    <w:p w14:paraId="64DE4ABE" w14:textId="154231C3" w:rsidR="001E5554" w:rsidRPr="001E5554" w:rsidRDefault="001E5554" w:rsidP="00D12E99">
      <w:pPr>
        <w:numPr>
          <w:ilvl w:val="0"/>
          <w:numId w:val="2"/>
        </w:numPr>
        <w:spacing w:before="360" w:after="120"/>
        <w:ind w:left="360"/>
        <w:rPr>
          <w:rFonts w:asciiTheme="minorHAnsi" w:hAnsiTheme="minorHAnsi"/>
          <w:sz w:val="24"/>
          <w:szCs w:val="24"/>
        </w:rPr>
      </w:pPr>
      <w:r w:rsidRPr="001E5554">
        <w:rPr>
          <w:rFonts w:asciiTheme="minorHAnsi" w:hAnsiTheme="minorHAnsi"/>
          <w:sz w:val="24"/>
          <w:szCs w:val="24"/>
        </w:rPr>
        <w:t xml:space="preserve">HCV </w:t>
      </w:r>
      <w:r w:rsidR="00D12E99" w:rsidRPr="001E5554">
        <w:rPr>
          <w:rFonts w:asciiTheme="minorHAnsi" w:hAnsiTheme="minorHAnsi"/>
          <w:sz w:val="24"/>
          <w:szCs w:val="24"/>
        </w:rPr>
        <w:t>educational resources for providers and tribal health departments are available from the CDC [</w:t>
      </w:r>
      <w:r w:rsidR="004E1A1D" w:rsidRPr="004E1A1D">
        <w:rPr>
          <w:rFonts w:asciiTheme="minorHAnsi" w:hAnsiTheme="minorHAnsi"/>
          <w:sz w:val="24"/>
          <w:szCs w:val="24"/>
        </w:rPr>
        <w:t>http://www.cdc.gov/hepatitis/hcv/patienteduhcv.htm</w:t>
      </w:r>
      <w:r w:rsidRPr="004E1A1D">
        <w:rPr>
          <w:rFonts w:asciiTheme="minorHAnsi" w:hAnsiTheme="minorHAnsi"/>
          <w:sz w:val="24"/>
          <w:szCs w:val="24"/>
        </w:rPr>
        <w:t xml:space="preserve">] and </w:t>
      </w:r>
      <w:r w:rsidR="00BB26BD" w:rsidRPr="004E1A1D">
        <w:rPr>
          <w:rFonts w:asciiTheme="minorHAnsi" w:hAnsiTheme="minorHAnsi"/>
          <w:sz w:val="24"/>
          <w:szCs w:val="24"/>
        </w:rPr>
        <w:t>the Northwest Portland Area Indian Health Board</w:t>
      </w:r>
      <w:r w:rsidR="00D12E99" w:rsidRPr="004E1A1D">
        <w:rPr>
          <w:rFonts w:asciiTheme="minorHAnsi" w:hAnsiTheme="minorHAnsi"/>
          <w:sz w:val="24"/>
          <w:szCs w:val="24"/>
        </w:rPr>
        <w:t xml:space="preserve"> [</w:t>
      </w:r>
      <w:r w:rsidR="004E1A1D" w:rsidRPr="004E1A1D">
        <w:rPr>
          <w:rFonts w:asciiTheme="minorHAnsi" w:hAnsiTheme="minorHAnsi"/>
          <w:sz w:val="24"/>
          <w:szCs w:val="24"/>
        </w:rPr>
        <w:t>http://www.npaihb.org/epicenter/project/prt_reports_publications_media_campaigns#HEP-C Brochure and Radio PSAs</w:t>
      </w:r>
      <w:r w:rsidR="00D12E99" w:rsidRPr="004E1A1D">
        <w:rPr>
          <w:rFonts w:asciiTheme="minorHAnsi" w:hAnsiTheme="minorHAnsi"/>
          <w:sz w:val="24"/>
          <w:szCs w:val="24"/>
        </w:rPr>
        <w:t>].</w:t>
      </w:r>
      <w:r w:rsidR="00D972C5" w:rsidRPr="001E5554">
        <w:rPr>
          <w:rFonts w:asciiTheme="minorHAnsi" w:hAnsiTheme="minorHAnsi"/>
          <w:sz w:val="24"/>
          <w:szCs w:val="24"/>
        </w:rPr>
        <w:t xml:space="preserve"> </w:t>
      </w:r>
    </w:p>
    <w:p w14:paraId="6962DC31" w14:textId="29C41461" w:rsidR="00D12E99" w:rsidRPr="001E5554" w:rsidRDefault="00D12E99" w:rsidP="001E5554">
      <w:pPr>
        <w:pStyle w:val="Heading2"/>
        <w:rPr>
          <w:rFonts w:asciiTheme="minorHAnsi" w:hAnsiTheme="minorHAnsi"/>
          <w:sz w:val="24"/>
          <w:szCs w:val="24"/>
        </w:rPr>
      </w:pPr>
      <w:r w:rsidRPr="001E5554">
        <w:rPr>
          <w:rFonts w:asciiTheme="minorHAnsi" w:hAnsiTheme="minorHAnsi"/>
          <w:sz w:val="24"/>
          <w:szCs w:val="24"/>
        </w:rPr>
        <w:t>Contact Informatio</w:t>
      </w:r>
      <w:r w:rsidR="001E5554" w:rsidRPr="001E5554">
        <w:rPr>
          <w:rFonts w:asciiTheme="minorHAnsi" w:hAnsiTheme="minorHAnsi"/>
          <w:sz w:val="24"/>
          <w:szCs w:val="24"/>
        </w:rPr>
        <w:t>n for Local Health Department</w:t>
      </w:r>
    </w:p>
    <w:p w14:paraId="10A627E8" w14:textId="77777777" w:rsidR="00D12E99" w:rsidRPr="001E5554" w:rsidRDefault="00FF558B" w:rsidP="00D12E99">
      <w:pPr>
        <w:ind w:left="360"/>
        <w:rPr>
          <w:rFonts w:asciiTheme="minorHAnsi" w:hAnsiTheme="minorHAnsi"/>
          <w:sz w:val="24"/>
          <w:szCs w:val="24"/>
        </w:rPr>
      </w:pPr>
      <w:r w:rsidRPr="001E5554">
        <w:rPr>
          <w:rFonts w:asciiTheme="minorHAnsi" w:hAnsiTheme="minorHAnsi"/>
          <w:sz w:val="24"/>
          <w:szCs w:val="24"/>
        </w:rPr>
        <w:fldChar w:fldCharType="begin">
          <w:ffData>
            <w:name w:val="Text6"/>
            <w:enabled/>
            <w:calcOnExit w:val="0"/>
            <w:textInput/>
          </w:ffData>
        </w:fldChar>
      </w:r>
      <w:bookmarkStart w:id="9" w:name="Text6"/>
      <w:r w:rsidR="0012629E" w:rsidRPr="001E5554">
        <w:rPr>
          <w:rFonts w:asciiTheme="minorHAnsi" w:hAnsiTheme="minorHAnsi"/>
          <w:sz w:val="24"/>
          <w:szCs w:val="24"/>
        </w:rPr>
        <w:instrText xml:space="preserve"> FORMTEXT </w:instrText>
      </w:r>
      <w:r w:rsidRPr="001E5554">
        <w:rPr>
          <w:rFonts w:asciiTheme="minorHAnsi" w:hAnsiTheme="minorHAnsi"/>
          <w:sz w:val="24"/>
          <w:szCs w:val="24"/>
        </w:rPr>
      </w:r>
      <w:r w:rsidRPr="001E5554">
        <w:rPr>
          <w:rFonts w:asciiTheme="minorHAnsi" w:hAnsiTheme="minorHAnsi"/>
          <w:sz w:val="24"/>
          <w:szCs w:val="24"/>
        </w:rPr>
        <w:fldChar w:fldCharType="separate"/>
      </w:r>
      <w:r w:rsidR="0012629E" w:rsidRPr="001E5554">
        <w:rPr>
          <w:rFonts w:asciiTheme="minorHAnsi" w:hAnsiTheme="minorHAnsi"/>
          <w:noProof/>
          <w:sz w:val="24"/>
          <w:szCs w:val="24"/>
        </w:rPr>
        <w:t>&lt;&lt;insert address for reporting&gt;&gt;</w:t>
      </w:r>
      <w:r w:rsidRPr="001E5554">
        <w:rPr>
          <w:rFonts w:asciiTheme="minorHAnsi" w:hAnsiTheme="minorHAnsi"/>
          <w:sz w:val="24"/>
          <w:szCs w:val="24"/>
        </w:rPr>
        <w:fldChar w:fldCharType="end"/>
      </w:r>
      <w:bookmarkEnd w:id="9"/>
    </w:p>
    <w:p w14:paraId="5155BC88" w14:textId="77777777" w:rsidR="00D12E99" w:rsidRPr="001E5554" w:rsidRDefault="00FF558B" w:rsidP="00D12E99">
      <w:pPr>
        <w:ind w:left="360"/>
        <w:rPr>
          <w:rFonts w:asciiTheme="minorHAnsi" w:hAnsiTheme="minorHAnsi"/>
          <w:sz w:val="24"/>
          <w:szCs w:val="24"/>
        </w:rPr>
      </w:pPr>
      <w:r w:rsidRPr="001E5554">
        <w:rPr>
          <w:rFonts w:asciiTheme="minorHAnsi" w:hAnsiTheme="minorHAnsi"/>
          <w:sz w:val="24"/>
          <w:szCs w:val="24"/>
        </w:rPr>
        <w:fldChar w:fldCharType="begin">
          <w:ffData>
            <w:name w:val="Text7"/>
            <w:enabled/>
            <w:calcOnExit w:val="0"/>
            <w:textInput/>
          </w:ffData>
        </w:fldChar>
      </w:r>
      <w:bookmarkStart w:id="10" w:name="Text7"/>
      <w:r w:rsidR="0012629E" w:rsidRPr="001E5554">
        <w:rPr>
          <w:rFonts w:asciiTheme="minorHAnsi" w:hAnsiTheme="minorHAnsi"/>
          <w:sz w:val="24"/>
          <w:szCs w:val="24"/>
        </w:rPr>
        <w:instrText xml:space="preserve"> FORMTEXT </w:instrText>
      </w:r>
      <w:r w:rsidRPr="001E5554">
        <w:rPr>
          <w:rFonts w:asciiTheme="minorHAnsi" w:hAnsiTheme="minorHAnsi"/>
          <w:sz w:val="24"/>
          <w:szCs w:val="24"/>
        </w:rPr>
      </w:r>
      <w:r w:rsidRPr="001E5554">
        <w:rPr>
          <w:rFonts w:asciiTheme="minorHAnsi" w:hAnsiTheme="minorHAnsi"/>
          <w:sz w:val="24"/>
          <w:szCs w:val="24"/>
        </w:rPr>
        <w:fldChar w:fldCharType="separate"/>
      </w:r>
      <w:r w:rsidR="0012629E" w:rsidRPr="001E5554">
        <w:rPr>
          <w:rFonts w:asciiTheme="minorHAnsi" w:hAnsiTheme="minorHAnsi"/>
          <w:noProof/>
          <w:sz w:val="24"/>
          <w:szCs w:val="24"/>
        </w:rPr>
        <w:t>&lt;&lt;insert phone number&gt;&gt;</w:t>
      </w:r>
      <w:r w:rsidRPr="001E5554">
        <w:rPr>
          <w:rFonts w:asciiTheme="minorHAnsi" w:hAnsiTheme="minorHAnsi"/>
          <w:sz w:val="24"/>
          <w:szCs w:val="24"/>
        </w:rPr>
        <w:fldChar w:fldCharType="end"/>
      </w:r>
      <w:bookmarkEnd w:id="10"/>
    </w:p>
    <w:p w14:paraId="612E91A9" w14:textId="77777777" w:rsidR="00D12E99" w:rsidRPr="001E5554" w:rsidRDefault="00FF558B" w:rsidP="00D12E99">
      <w:pPr>
        <w:ind w:left="360"/>
        <w:rPr>
          <w:rFonts w:asciiTheme="minorHAnsi" w:hAnsiTheme="minorHAnsi"/>
          <w:sz w:val="24"/>
          <w:szCs w:val="24"/>
        </w:rPr>
      </w:pPr>
      <w:r w:rsidRPr="001E5554">
        <w:rPr>
          <w:rFonts w:asciiTheme="minorHAnsi" w:hAnsiTheme="minorHAnsi"/>
          <w:sz w:val="24"/>
          <w:szCs w:val="24"/>
        </w:rPr>
        <w:fldChar w:fldCharType="begin">
          <w:ffData>
            <w:name w:val="Text8"/>
            <w:enabled/>
            <w:calcOnExit w:val="0"/>
            <w:textInput/>
          </w:ffData>
        </w:fldChar>
      </w:r>
      <w:bookmarkStart w:id="11" w:name="Text8"/>
      <w:r w:rsidR="0012629E" w:rsidRPr="001E5554">
        <w:rPr>
          <w:rFonts w:asciiTheme="minorHAnsi" w:hAnsiTheme="minorHAnsi"/>
          <w:sz w:val="24"/>
          <w:szCs w:val="24"/>
        </w:rPr>
        <w:instrText xml:space="preserve"> FORMTEXT </w:instrText>
      </w:r>
      <w:r w:rsidRPr="001E5554">
        <w:rPr>
          <w:rFonts w:asciiTheme="minorHAnsi" w:hAnsiTheme="minorHAnsi"/>
          <w:sz w:val="24"/>
          <w:szCs w:val="24"/>
        </w:rPr>
      </w:r>
      <w:r w:rsidRPr="001E5554">
        <w:rPr>
          <w:rFonts w:asciiTheme="minorHAnsi" w:hAnsiTheme="minorHAnsi"/>
          <w:sz w:val="24"/>
          <w:szCs w:val="24"/>
        </w:rPr>
        <w:fldChar w:fldCharType="separate"/>
      </w:r>
      <w:r w:rsidR="0012629E" w:rsidRPr="001E5554">
        <w:rPr>
          <w:rFonts w:asciiTheme="minorHAnsi" w:hAnsiTheme="minorHAnsi"/>
          <w:noProof/>
          <w:sz w:val="24"/>
          <w:szCs w:val="24"/>
        </w:rPr>
        <w:t>&lt;&lt;insert fax number&gt;&gt;</w:t>
      </w:r>
      <w:r w:rsidRPr="001E5554">
        <w:rPr>
          <w:rFonts w:asciiTheme="minorHAnsi" w:hAnsiTheme="minorHAnsi"/>
          <w:sz w:val="24"/>
          <w:szCs w:val="24"/>
        </w:rPr>
        <w:fldChar w:fldCharType="end"/>
      </w:r>
      <w:bookmarkEnd w:id="11"/>
    </w:p>
    <w:p w14:paraId="0072BF25" w14:textId="1E2493D7" w:rsidR="00C1218E" w:rsidRPr="001E5554" w:rsidRDefault="005E05A7" w:rsidP="00A02194">
      <w:pPr>
        <w:pStyle w:val="Heading2"/>
        <w:spacing w:before="360"/>
        <w:rPr>
          <w:rFonts w:asciiTheme="minorHAnsi" w:hAnsiTheme="minorHAnsi"/>
          <w:sz w:val="24"/>
          <w:szCs w:val="24"/>
        </w:rPr>
      </w:pPr>
      <w:r>
        <w:rPr>
          <w:rFonts w:asciiTheme="minorHAnsi" w:hAnsiTheme="minorHAnsi"/>
          <w:sz w:val="24"/>
          <w:szCs w:val="24"/>
        </w:rPr>
        <w:t>Appendi</w:t>
      </w:r>
      <w:r w:rsidR="00BB26BD">
        <w:rPr>
          <w:rFonts w:asciiTheme="minorHAnsi" w:hAnsiTheme="minorHAnsi"/>
          <w:sz w:val="24"/>
          <w:szCs w:val="24"/>
        </w:rPr>
        <w:t>x</w:t>
      </w:r>
    </w:p>
    <w:p w14:paraId="14195768" w14:textId="260A6067" w:rsidR="003C5EDF" w:rsidRPr="001E5554" w:rsidRDefault="003C5EDF" w:rsidP="003C5EDF">
      <w:pPr>
        <w:rPr>
          <w:rFonts w:asciiTheme="minorHAnsi" w:hAnsiTheme="minorHAnsi"/>
          <w:sz w:val="24"/>
          <w:szCs w:val="24"/>
        </w:rPr>
      </w:pPr>
      <w:r w:rsidRPr="001E5554">
        <w:rPr>
          <w:rFonts w:asciiTheme="minorHAnsi" w:hAnsiTheme="minorHAnsi"/>
          <w:sz w:val="24"/>
          <w:szCs w:val="24"/>
        </w:rPr>
        <w:t>(</w:t>
      </w:r>
      <w:proofErr w:type="spellStart"/>
      <w:r w:rsidRPr="001E5554">
        <w:rPr>
          <w:rFonts w:asciiTheme="minorHAnsi" w:hAnsiTheme="minorHAnsi"/>
          <w:sz w:val="24"/>
          <w:szCs w:val="24"/>
        </w:rPr>
        <w:t>i</w:t>
      </w:r>
      <w:proofErr w:type="spellEnd"/>
      <w:r w:rsidRPr="001E5554">
        <w:rPr>
          <w:rFonts w:asciiTheme="minorHAnsi" w:hAnsiTheme="minorHAnsi"/>
          <w:sz w:val="24"/>
          <w:szCs w:val="24"/>
        </w:rPr>
        <w:t xml:space="preserve">) Recommendations for the Identification of Chronic Hepatitis C Virus Infection Among Persons Born During 1945-1965. </w:t>
      </w:r>
      <w:hyperlink r:id="rId8" w:history="1">
        <w:r w:rsidRPr="001E5554">
          <w:rPr>
            <w:rStyle w:val="Hyperlink"/>
            <w:rFonts w:asciiTheme="minorHAnsi" w:hAnsiTheme="minorHAnsi"/>
            <w:sz w:val="24"/>
            <w:szCs w:val="24"/>
          </w:rPr>
          <w:t>MMWR 2012; Vol. 61 (RR-4)</w:t>
        </w:r>
      </w:hyperlink>
    </w:p>
    <w:p w14:paraId="2B3AF5A4" w14:textId="772116AC" w:rsidR="003C5EDF" w:rsidRPr="001E5554" w:rsidRDefault="003C5EDF" w:rsidP="003C5EDF">
      <w:pPr>
        <w:rPr>
          <w:rFonts w:asciiTheme="minorHAnsi" w:hAnsiTheme="minorHAnsi"/>
          <w:sz w:val="24"/>
          <w:szCs w:val="24"/>
        </w:rPr>
      </w:pPr>
      <w:r w:rsidRPr="001E5554">
        <w:rPr>
          <w:rFonts w:asciiTheme="minorHAnsi" w:hAnsiTheme="minorHAnsi"/>
          <w:sz w:val="24"/>
          <w:szCs w:val="24"/>
        </w:rPr>
        <w:t xml:space="preserve">(ii) Recommendations for Prevention and Control of Hepatitis C Virus (HCV) Infection and HCV-Related Chronic Disease. </w:t>
      </w:r>
      <w:hyperlink r:id="rId9" w:history="1">
        <w:r w:rsidRPr="001E5554">
          <w:rPr>
            <w:rStyle w:val="Hyperlink"/>
            <w:rFonts w:asciiTheme="minorHAnsi" w:hAnsiTheme="minorHAnsi"/>
            <w:sz w:val="24"/>
            <w:szCs w:val="24"/>
          </w:rPr>
          <w:t>MMWR 1998; Vol. 47 (RR-19)</w:t>
        </w:r>
      </w:hyperlink>
    </w:p>
    <w:p w14:paraId="72AA3086" w14:textId="77777777" w:rsidR="003C5EDF" w:rsidRDefault="003C5EDF">
      <w:pPr>
        <w:spacing w:before="0" w:after="0" w:line="240" w:lineRule="auto"/>
        <w:rPr>
          <w:rFonts w:asciiTheme="minorHAnsi" w:hAnsiTheme="minorHAnsi"/>
          <w:sz w:val="24"/>
          <w:szCs w:val="24"/>
        </w:rPr>
      </w:pPr>
      <w:r>
        <w:rPr>
          <w:rFonts w:asciiTheme="minorHAnsi" w:hAnsiTheme="minorHAnsi"/>
          <w:sz w:val="24"/>
          <w:szCs w:val="24"/>
        </w:rPr>
        <w:br w:type="page"/>
      </w:r>
    </w:p>
    <w:p w14:paraId="0126C29E" w14:textId="7E23E087" w:rsidR="005E09B2" w:rsidRPr="001E5554" w:rsidRDefault="005E09B2" w:rsidP="003C5EDF">
      <w:pPr>
        <w:rPr>
          <w:rStyle w:val="Hyperlink"/>
          <w:rFonts w:asciiTheme="minorHAnsi" w:hAnsiTheme="minorHAnsi"/>
          <w:sz w:val="24"/>
          <w:szCs w:val="24"/>
        </w:rPr>
      </w:pPr>
      <w:r w:rsidRPr="001E5554">
        <w:rPr>
          <w:rFonts w:asciiTheme="minorHAnsi" w:hAnsiTheme="minorHAnsi"/>
          <w:sz w:val="24"/>
          <w:szCs w:val="24"/>
        </w:rPr>
        <w:lastRenderedPageBreak/>
        <w:t>(i</w:t>
      </w:r>
      <w:r w:rsidR="003C5EDF">
        <w:rPr>
          <w:rFonts w:asciiTheme="minorHAnsi" w:hAnsiTheme="minorHAnsi"/>
          <w:sz w:val="24"/>
          <w:szCs w:val="24"/>
        </w:rPr>
        <w:t>ii</w:t>
      </w:r>
      <w:r w:rsidRPr="001E5554">
        <w:rPr>
          <w:rFonts w:asciiTheme="minorHAnsi" w:hAnsiTheme="minorHAnsi"/>
          <w:sz w:val="24"/>
          <w:szCs w:val="24"/>
        </w:rPr>
        <w:t xml:space="preserve">) Recommended Testing Sequence for Identifying Current Hepatitis C Virus (HCV) Infection </w:t>
      </w:r>
      <w:hyperlink r:id="rId10" w:history="1">
        <w:r w:rsidRPr="001E5554">
          <w:rPr>
            <w:rStyle w:val="Hyperlink"/>
            <w:rFonts w:asciiTheme="minorHAnsi" w:hAnsiTheme="minorHAnsi"/>
            <w:sz w:val="24"/>
            <w:szCs w:val="24"/>
          </w:rPr>
          <w:t>http://www.cdc.gov/hepatitis/HCV/PDFs/hcv_flow.pdf</w:t>
        </w:r>
      </w:hyperlink>
    </w:p>
    <w:p w14:paraId="4704E8E3" w14:textId="77777777" w:rsidR="005E09B2" w:rsidRPr="001E5554" w:rsidRDefault="005E09B2" w:rsidP="005E09B2">
      <w:pPr>
        <w:rPr>
          <w:rFonts w:asciiTheme="minorHAnsi" w:hAnsiTheme="minorHAnsi"/>
          <w:sz w:val="24"/>
          <w:szCs w:val="24"/>
        </w:rPr>
      </w:pPr>
      <w:r w:rsidRPr="001E5554">
        <w:rPr>
          <w:rFonts w:asciiTheme="minorHAnsi" w:hAnsiTheme="minorHAnsi"/>
          <w:noProof/>
          <w:sz w:val="24"/>
          <w:szCs w:val="24"/>
          <w:lang w:bidi="ar-SA"/>
        </w:rPr>
        <w:drawing>
          <wp:inline distT="0" distB="0" distL="0" distR="0" wp14:anchorId="6B44B8C8" wp14:editId="1B9EF6F9">
            <wp:extent cx="5990833" cy="315912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b="21141"/>
                    <a:stretch/>
                  </pic:blipFill>
                  <pic:spPr bwMode="auto">
                    <a:xfrm>
                      <a:off x="0" y="0"/>
                      <a:ext cx="5999454" cy="3163671"/>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2671CDE" w14:textId="77777777" w:rsidR="005E09B2" w:rsidRPr="001E5554" w:rsidRDefault="005E09B2" w:rsidP="005E09B2">
      <w:pPr>
        <w:rPr>
          <w:rFonts w:asciiTheme="minorHAnsi" w:hAnsiTheme="minorHAnsi"/>
          <w:sz w:val="24"/>
          <w:szCs w:val="24"/>
        </w:rPr>
      </w:pPr>
      <w:r w:rsidRPr="001E5554">
        <w:rPr>
          <w:rFonts w:asciiTheme="minorHAnsi" w:hAnsiTheme="minorHAnsi"/>
          <w:noProof/>
          <w:sz w:val="24"/>
          <w:szCs w:val="24"/>
          <w:lang w:bidi="ar-SA"/>
        </w:rPr>
        <mc:AlternateContent>
          <mc:Choice Requires="wps">
            <w:drawing>
              <wp:anchor distT="0" distB="0" distL="114300" distR="114300" simplePos="0" relativeHeight="251658240" behindDoc="0" locked="0" layoutInCell="1" allowOverlap="1" wp14:anchorId="12AF0FFD" wp14:editId="61051B66">
                <wp:simplePos x="0" y="0"/>
                <wp:positionH relativeFrom="column">
                  <wp:posOffset>-200025</wp:posOffset>
                </wp:positionH>
                <wp:positionV relativeFrom="paragraph">
                  <wp:posOffset>0</wp:posOffset>
                </wp:positionV>
                <wp:extent cx="6743700" cy="12477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6743700" cy="1247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B464BD" w14:textId="77777777" w:rsidR="00BB26BD" w:rsidRDefault="00BB26BD" w:rsidP="005E09B2">
                            <w:pPr>
                              <w:rPr>
                                <w:sz w:val="18"/>
                                <w:szCs w:val="18"/>
                              </w:rPr>
                            </w:pPr>
                            <w:r w:rsidRPr="00EF3099">
                              <w:rPr>
                                <w:sz w:val="18"/>
                                <w:szCs w:val="18"/>
                              </w:rPr>
                              <w:t xml:space="preserve">*For persons who might have been exposed to HCV within the past 6 months, testing for HCV RNA or follow-up testing for HCV antibody is recommended. For persons who are immunocompromised, testing for HCV RNA </w:t>
                            </w:r>
                            <w:r>
                              <w:rPr>
                                <w:sz w:val="18"/>
                                <w:szCs w:val="18"/>
                              </w:rPr>
                              <w:t xml:space="preserve">can be considered. </w:t>
                            </w:r>
                          </w:p>
                          <w:p w14:paraId="058996AF" w14:textId="77777777" w:rsidR="00BB26BD" w:rsidRDefault="00BB26BD" w:rsidP="005E09B2">
                            <w:pPr>
                              <w:rPr>
                                <w:sz w:val="18"/>
                                <w:szCs w:val="18"/>
                              </w:rPr>
                            </w:pPr>
                            <w:r w:rsidRPr="008009B0">
                              <w:rPr>
                                <w:vertAlign w:val="superscript"/>
                              </w:rPr>
                              <w:t>†</w:t>
                            </w:r>
                            <w:r w:rsidRPr="00A83033">
                              <w:rPr>
                                <w:sz w:val="18"/>
                                <w:szCs w:val="18"/>
                                <w:vertAlign w:val="superscript"/>
                              </w:rPr>
                              <w:t xml:space="preserve"> </w:t>
                            </w:r>
                            <w:r>
                              <w:rPr>
                                <w:sz w:val="18"/>
                                <w:szCs w:val="18"/>
                              </w:rPr>
                              <w:t>To differentiate past, resolved HCV infection from biologic false positivity for HCV antibody, testing with another HCV antibody assay can be considered. Repeat HCV RNA testing if the person tested is suspected to have had HCV exposure within the past 6 months or has clinical evidence of HCV disease, or if there is concern regarding the handling or storage of the test specimen.</w:t>
                            </w:r>
                          </w:p>
                          <w:p w14:paraId="0A6659E5" w14:textId="77777777" w:rsidR="00BB26BD" w:rsidRDefault="00BB26BD" w:rsidP="005E09B2">
                            <w:pPr>
                              <w:rPr>
                                <w:sz w:val="18"/>
                                <w:szCs w:val="18"/>
                              </w:rPr>
                            </w:pPr>
                          </w:p>
                          <w:p w14:paraId="13936103" w14:textId="77777777" w:rsidR="00BB26BD" w:rsidRPr="005F5E51" w:rsidRDefault="00BB26BD" w:rsidP="005E09B2">
                            <w:pPr>
                              <w:rPr>
                                <w:i/>
                                <w:sz w:val="18"/>
                                <w:szCs w:val="18"/>
                              </w:rPr>
                            </w:pPr>
                            <w:r w:rsidRPr="005F5E51">
                              <w:rPr>
                                <w:i/>
                                <w:sz w:val="18"/>
                                <w:szCs w:val="18"/>
                              </w:rPr>
                              <w:t>Source: CDC. Testing for HCV infection: An update of guidance for clinicians and laboratorians. MMWR 2013;62(18).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F0FFD" id="_x0000_t202" coordsize="21600,21600" o:spt="202" path="m,l,21600r21600,l21600,xe">
                <v:stroke joinstyle="miter"/>
                <v:path gradientshapeok="t" o:connecttype="rect"/>
              </v:shapetype>
              <v:shape id="Text Box 2" o:spid="_x0000_s1026" type="#_x0000_t202" style="position:absolute;margin-left:-15.75pt;margin-top:0;width:531pt;height:9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" fillcolor="white [3201]" stroked="f" strokeweight=".5pt">
                <v:textbox>
                  <w:txbxContent>
                    <w:p w14:paraId="4AB464BD" w14:textId="77777777" w:rsidR="00BB26BD" w:rsidRDefault="00BB26BD" w:rsidP="005E09B2">
                      <w:pPr>
                        <w:rPr>
                          <w:sz w:val="18"/>
                          <w:szCs w:val="18"/>
                        </w:rPr>
                      </w:pPr>
                      <w:r w:rsidRPr="00EF3099">
                        <w:rPr>
                          <w:sz w:val="18"/>
                          <w:szCs w:val="18"/>
                        </w:rPr>
                        <w:t xml:space="preserve">*For persons who might have been exposed to HCV within the past 6 months, testing for HCV RNA or follow-up testing for HCV antibody is recommended. For persons who are immunocompromised, testing for HCV RNA </w:t>
                      </w:r>
                      <w:r>
                        <w:rPr>
                          <w:sz w:val="18"/>
                          <w:szCs w:val="18"/>
                        </w:rPr>
                        <w:t xml:space="preserve">can be considered. </w:t>
                      </w:r>
                    </w:p>
                    <w:p w14:paraId="058996AF" w14:textId="77777777" w:rsidR="00BB26BD" w:rsidRDefault="00BB26BD" w:rsidP="005E09B2">
                      <w:pPr>
                        <w:rPr>
                          <w:sz w:val="18"/>
                          <w:szCs w:val="18"/>
                        </w:rPr>
                      </w:pPr>
                      <w:r w:rsidRPr="008009B0">
                        <w:rPr>
                          <w:vertAlign w:val="superscript"/>
                        </w:rPr>
                        <w:t>†</w:t>
                      </w:r>
                      <w:r w:rsidRPr="00A83033">
                        <w:rPr>
                          <w:sz w:val="18"/>
                          <w:szCs w:val="18"/>
                          <w:vertAlign w:val="superscript"/>
                        </w:rPr>
                        <w:t xml:space="preserve"> </w:t>
                      </w:r>
                      <w:r>
                        <w:rPr>
                          <w:sz w:val="18"/>
                          <w:szCs w:val="18"/>
                        </w:rPr>
                        <w:t>To differentiate past, resolved HCV infection from biologic false positivity for HCV antibody, testing with another HCV antibody assay can be considered. Repeat HCV RNA testing if the person tested is suspected to have had HCV exposure within the past 6 months or has clinical evidence of HCV disease, or if there is concern regarding the handling or storage of the test specimen.</w:t>
                      </w:r>
                    </w:p>
                    <w:p w14:paraId="0A6659E5" w14:textId="77777777" w:rsidR="00BB26BD" w:rsidRDefault="00BB26BD" w:rsidP="005E09B2">
                      <w:pPr>
                        <w:rPr>
                          <w:sz w:val="18"/>
                          <w:szCs w:val="18"/>
                        </w:rPr>
                      </w:pPr>
                    </w:p>
                    <w:p w14:paraId="13936103" w14:textId="77777777" w:rsidR="00BB26BD" w:rsidRPr="005F5E51" w:rsidRDefault="00BB26BD" w:rsidP="005E09B2">
                      <w:pPr>
                        <w:rPr>
                          <w:i/>
                          <w:sz w:val="18"/>
                          <w:szCs w:val="18"/>
                        </w:rPr>
                      </w:pPr>
                      <w:r w:rsidRPr="005F5E51">
                        <w:rPr>
                          <w:i/>
                          <w:sz w:val="18"/>
                          <w:szCs w:val="18"/>
                        </w:rPr>
                        <w:t>Source: CDC. Testing for HCV infection: An update of guidance for clinicians and laboratorians. MMWR 2013</w:t>
                      </w:r>
                      <w:proofErr w:type="gramStart"/>
                      <w:r w:rsidRPr="005F5E51">
                        <w:rPr>
                          <w:i/>
                          <w:sz w:val="18"/>
                          <w:szCs w:val="18"/>
                        </w:rPr>
                        <w:t>;62</w:t>
                      </w:r>
                      <w:proofErr w:type="gramEnd"/>
                      <w:r w:rsidRPr="005F5E51">
                        <w:rPr>
                          <w:i/>
                          <w:sz w:val="18"/>
                          <w:szCs w:val="18"/>
                        </w:rPr>
                        <w:t>(18).</w:t>
                      </w:r>
                    </w:p>
                  </w:txbxContent>
                </v:textbox>
              </v:shape>
            </w:pict>
          </mc:Fallback>
        </mc:AlternateContent>
      </w:r>
    </w:p>
    <w:p w14:paraId="68CB2BC4" w14:textId="77777777" w:rsidR="005E09B2" w:rsidRPr="001E5554" w:rsidRDefault="005E09B2" w:rsidP="005E09B2">
      <w:pPr>
        <w:rPr>
          <w:rFonts w:asciiTheme="minorHAnsi" w:hAnsiTheme="minorHAnsi"/>
          <w:sz w:val="24"/>
          <w:szCs w:val="24"/>
        </w:rPr>
      </w:pPr>
    </w:p>
    <w:p w14:paraId="555AE41B" w14:textId="77777777" w:rsidR="005E09B2" w:rsidRPr="001E5554" w:rsidRDefault="005E09B2" w:rsidP="005E09B2">
      <w:pPr>
        <w:ind w:left="720" w:firstLine="720"/>
        <w:rPr>
          <w:rFonts w:asciiTheme="minorHAnsi" w:hAnsiTheme="minorHAnsi"/>
          <w:sz w:val="24"/>
          <w:szCs w:val="24"/>
        </w:rPr>
      </w:pPr>
    </w:p>
    <w:p w14:paraId="1AEDBAD9" w14:textId="77777777" w:rsidR="005E09B2" w:rsidRPr="001E5554" w:rsidRDefault="005E09B2" w:rsidP="005E09B2">
      <w:pPr>
        <w:rPr>
          <w:rFonts w:asciiTheme="minorHAnsi" w:hAnsiTheme="minorHAnsi"/>
          <w:sz w:val="24"/>
          <w:szCs w:val="24"/>
        </w:rPr>
      </w:pPr>
    </w:p>
    <w:p w14:paraId="26CEBEBA" w14:textId="3C756155" w:rsidR="003C5EDF" w:rsidRDefault="003C5EDF" w:rsidP="003C5EDF">
      <w:pPr>
        <w:spacing w:before="0" w:after="0" w:line="240" w:lineRule="auto"/>
        <w:rPr>
          <w:rFonts w:asciiTheme="minorHAnsi" w:hAnsiTheme="minorHAnsi"/>
          <w:sz w:val="24"/>
          <w:szCs w:val="24"/>
        </w:rPr>
        <w:sectPr w:rsidR="003C5EDF" w:rsidSect="00375A69">
          <w:headerReference w:type="even" r:id="rId12"/>
          <w:headerReference w:type="default" r:id="rId13"/>
          <w:footerReference w:type="even" r:id="rId14"/>
          <w:footerReference w:type="default" r:id="rId15"/>
          <w:headerReference w:type="first" r:id="rId16"/>
          <w:footerReference w:type="first" r:id="rId17"/>
          <w:pgSz w:w="12240" w:h="15840"/>
          <w:pgMar w:top="1035" w:right="1440" w:bottom="1170" w:left="1440" w:header="630" w:footer="15" w:gutter="0"/>
          <w:cols w:space="720"/>
          <w:docGrid w:linePitch="360"/>
        </w:sectPr>
      </w:pPr>
      <w:r>
        <w:rPr>
          <w:rFonts w:asciiTheme="minorHAnsi" w:hAnsiTheme="minorHAnsi"/>
          <w:sz w:val="24"/>
          <w:szCs w:val="24"/>
        </w:rPr>
        <w:br w:type="page"/>
      </w:r>
    </w:p>
    <w:p w14:paraId="0D23FDF5" w14:textId="40982942" w:rsidR="005E09B2" w:rsidRPr="001E5554" w:rsidRDefault="005E09B2" w:rsidP="0057510A">
      <w:pPr>
        <w:rPr>
          <w:rFonts w:asciiTheme="minorHAnsi" w:hAnsiTheme="minorHAnsi"/>
          <w:sz w:val="24"/>
          <w:szCs w:val="24"/>
        </w:rPr>
      </w:pPr>
      <w:r w:rsidRPr="001E5554">
        <w:rPr>
          <w:rFonts w:asciiTheme="minorHAnsi" w:hAnsiTheme="minorHAnsi"/>
          <w:sz w:val="24"/>
          <w:szCs w:val="24"/>
        </w:rPr>
        <w:lastRenderedPageBreak/>
        <w:t xml:space="preserve">(iv) Screening for Hepatitis C Virus Infection in Adults, </w:t>
      </w:r>
      <w:r w:rsidR="0057510A">
        <w:rPr>
          <w:rFonts w:asciiTheme="minorHAnsi" w:hAnsiTheme="minorHAnsi"/>
          <w:sz w:val="24"/>
          <w:szCs w:val="24"/>
        </w:rPr>
        <w:t xml:space="preserve">American Association for the Study of Liver Disease </w:t>
      </w:r>
      <w:hyperlink r:id="rId18" w:history="1">
        <w:r w:rsidR="0057510A" w:rsidRPr="00B1566F">
          <w:rPr>
            <w:rStyle w:val="Hyperlink"/>
            <w:rFonts w:asciiTheme="minorHAnsi" w:hAnsiTheme="minorHAnsi"/>
            <w:sz w:val="24"/>
            <w:szCs w:val="24"/>
          </w:rPr>
          <w:t>http://www.hcvguidelines.org/</w:t>
        </w:r>
      </w:hyperlink>
      <w:r w:rsidR="0057510A">
        <w:rPr>
          <w:rFonts w:asciiTheme="minorHAnsi" w:hAnsiTheme="minorHAnsi"/>
          <w:sz w:val="24"/>
          <w:szCs w:val="24"/>
        </w:rPr>
        <w:t xml:space="preserve"> </w:t>
      </w:r>
    </w:p>
    <w:p w14:paraId="5FB871E8" w14:textId="77777777" w:rsidR="003C5EDF" w:rsidRDefault="003C5EDF">
      <w:pPr>
        <w:spacing w:before="0" w:after="0" w:line="240" w:lineRule="auto"/>
        <w:rPr>
          <w:rFonts w:asciiTheme="minorHAnsi" w:hAnsiTheme="minorHAnsi"/>
          <w:sz w:val="24"/>
          <w:szCs w:val="24"/>
        </w:rPr>
      </w:pPr>
      <w:r>
        <w:rPr>
          <w:rFonts w:asciiTheme="minorHAnsi" w:hAnsiTheme="minorHAnsi"/>
          <w:sz w:val="24"/>
          <w:szCs w:val="24"/>
        </w:rPr>
        <w:br w:type="page"/>
      </w:r>
    </w:p>
    <w:p w14:paraId="5B960EC3" w14:textId="77777777" w:rsidR="003C5EDF" w:rsidRDefault="003C5EDF" w:rsidP="005E09B2">
      <w:pPr>
        <w:rPr>
          <w:rFonts w:asciiTheme="minorHAnsi" w:hAnsiTheme="minorHAnsi"/>
          <w:sz w:val="24"/>
          <w:szCs w:val="24"/>
        </w:rPr>
        <w:sectPr w:rsidR="003C5EDF" w:rsidSect="003C5EDF">
          <w:pgSz w:w="15840" w:h="12240" w:orient="landscape"/>
          <w:pgMar w:top="1440" w:right="1166" w:bottom="1440" w:left="1037" w:header="634" w:footer="14" w:gutter="0"/>
          <w:cols w:space="720"/>
          <w:docGrid w:linePitch="360"/>
        </w:sectPr>
      </w:pPr>
    </w:p>
    <w:p w14:paraId="38D26A8F" w14:textId="4545A5DA" w:rsidR="005E09B2" w:rsidRPr="001E5554" w:rsidRDefault="005E09B2" w:rsidP="005E09B2">
      <w:pPr>
        <w:rPr>
          <w:rFonts w:asciiTheme="minorHAnsi" w:hAnsiTheme="minorHAnsi"/>
          <w:sz w:val="24"/>
          <w:szCs w:val="24"/>
        </w:rPr>
      </w:pPr>
      <w:r w:rsidRPr="001E5554">
        <w:rPr>
          <w:rFonts w:asciiTheme="minorHAnsi" w:hAnsiTheme="minorHAnsi"/>
          <w:sz w:val="24"/>
          <w:szCs w:val="24"/>
        </w:rPr>
        <w:lastRenderedPageBreak/>
        <w:t xml:space="preserve">(v) Natural History of Hepatitis C Viral Infection </w:t>
      </w:r>
      <w:r w:rsidRPr="001E5554">
        <w:rPr>
          <w:rFonts w:asciiTheme="minorHAnsi" w:hAnsiTheme="minorHAnsi"/>
          <w:sz w:val="24"/>
          <w:szCs w:val="24"/>
        </w:rPr>
        <w:fldChar w:fldCharType="begin">
          <w:fldData xml:space="preserve">PEVuZE5vdGU+PENpdGU+PEF1dGhvcj5NYWFzb3VteTwvQXV0aG9yPjxZZWFyPjIwMTI8L1llYXI+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</w:fldData>
        </w:fldChar>
      </w:r>
      <w:r w:rsidRPr="001E5554">
        <w:rPr>
          <w:rFonts w:asciiTheme="minorHAnsi" w:hAnsiTheme="minorHAnsi"/>
          <w:sz w:val="24"/>
          <w:szCs w:val="24"/>
        </w:rPr>
        <w:instrText xml:space="preserve"> ADDIN EN.CITE </w:instrText>
      </w:r>
      <w:r w:rsidRPr="001E5554">
        <w:rPr>
          <w:rFonts w:asciiTheme="minorHAnsi" w:hAnsiTheme="minorHAnsi"/>
          <w:sz w:val="24"/>
          <w:szCs w:val="24"/>
        </w:rPr>
        <w:fldChar w:fldCharType="begin">
          <w:fldData xml:space="preserve">PEVuZE5vdGU+PENpdGU+PEF1dGhvcj5NYWFzb3VteTwvQXV0aG9yPjxZZWFyPjIwMTI8L1llYXI+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</w:fldData>
        </w:fldChar>
      </w:r>
      <w:r w:rsidRPr="001E5554">
        <w:rPr>
          <w:rFonts w:asciiTheme="minorHAnsi" w:hAnsiTheme="minorHAnsi"/>
          <w:sz w:val="24"/>
          <w:szCs w:val="24"/>
        </w:rPr>
        <w:instrText xml:space="preserve"> ADDIN EN.CITE.DATA </w:instrText>
      </w:r>
      <w:r w:rsidRPr="001E5554">
        <w:rPr>
          <w:rFonts w:asciiTheme="minorHAnsi" w:hAnsiTheme="minorHAnsi"/>
          <w:sz w:val="24"/>
          <w:szCs w:val="24"/>
        </w:rPr>
      </w:r>
      <w:r w:rsidRPr="001E5554">
        <w:rPr>
          <w:rFonts w:asciiTheme="minorHAnsi" w:hAnsiTheme="minorHAnsi"/>
          <w:sz w:val="24"/>
          <w:szCs w:val="24"/>
        </w:rPr>
        <w:fldChar w:fldCharType="end"/>
      </w:r>
      <w:r w:rsidRPr="001E5554">
        <w:rPr>
          <w:rFonts w:asciiTheme="minorHAnsi" w:hAnsiTheme="minorHAnsi"/>
          <w:sz w:val="24"/>
          <w:szCs w:val="24"/>
        </w:rPr>
      </w:r>
      <w:r w:rsidRPr="001E5554">
        <w:rPr>
          <w:rFonts w:asciiTheme="minorHAnsi" w:hAnsiTheme="minorHAnsi"/>
          <w:sz w:val="24"/>
          <w:szCs w:val="24"/>
        </w:rPr>
        <w:fldChar w:fldCharType="separate"/>
      </w:r>
      <w:r w:rsidRPr="001E5554">
        <w:rPr>
          <w:rFonts w:asciiTheme="minorHAnsi" w:hAnsiTheme="minorHAnsi"/>
          <w:noProof/>
          <w:sz w:val="24"/>
          <w:szCs w:val="24"/>
        </w:rPr>
        <w:t>[1</w:t>
      </w:r>
      <w:r w:rsidR="00244F7A">
        <w:rPr>
          <w:rFonts w:asciiTheme="minorHAnsi" w:hAnsiTheme="minorHAnsi"/>
          <w:noProof/>
          <w:sz w:val="24"/>
          <w:szCs w:val="24"/>
        </w:rPr>
        <w:t>3</w:t>
      </w:r>
      <w:r w:rsidRPr="001E5554">
        <w:rPr>
          <w:rFonts w:asciiTheme="minorHAnsi" w:hAnsiTheme="minorHAnsi"/>
          <w:noProof/>
          <w:sz w:val="24"/>
          <w:szCs w:val="24"/>
        </w:rPr>
        <w:t>]</w:t>
      </w:r>
      <w:r w:rsidRPr="001E5554">
        <w:rPr>
          <w:rFonts w:asciiTheme="minorHAnsi" w:hAnsiTheme="minorHAnsi"/>
          <w:sz w:val="24"/>
          <w:szCs w:val="24"/>
        </w:rPr>
        <w:fldChar w:fldCharType="end"/>
      </w:r>
    </w:p>
    <w:p w14:paraId="17164DC6" w14:textId="7A7F38A1" w:rsidR="005E09B2" w:rsidRPr="001E5554" w:rsidRDefault="005E09B2" w:rsidP="005E09B2">
      <w:pPr>
        <w:jc w:val="center"/>
        <w:rPr>
          <w:rFonts w:asciiTheme="minorHAnsi" w:hAnsiTheme="minorHAnsi"/>
          <w:sz w:val="24"/>
          <w:szCs w:val="24"/>
        </w:rPr>
      </w:pPr>
      <w:r w:rsidRPr="001E5554">
        <w:rPr>
          <w:rFonts w:asciiTheme="minorHAnsi" w:hAnsiTheme="minorHAnsi"/>
          <w:noProof/>
          <w:sz w:val="24"/>
          <w:szCs w:val="24"/>
          <w:lang w:bidi="ar-SA"/>
        </w:rPr>
        <w:drawing>
          <wp:inline distT="0" distB="0" distL="0" distR="0" wp14:anchorId="1BF904A1" wp14:editId="34DA50FD">
            <wp:extent cx="5666158" cy="48685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6158" cy="4868545"/>
                    </a:xfrm>
                    <a:prstGeom prst="rect">
                      <a:avLst/>
                    </a:prstGeom>
                  </pic:spPr>
                </pic:pic>
              </a:graphicData>
            </a:graphic>
          </wp:inline>
        </w:drawing>
      </w:r>
    </w:p>
    <w:p w14:paraId="5F1124C9" w14:textId="77777777" w:rsidR="003C5EDF" w:rsidRDefault="003C5EDF">
      <w:pPr>
        <w:spacing w:before="0" w:after="0" w:line="240" w:lineRule="auto"/>
        <w:rPr>
          <w:rFonts w:asciiTheme="minorHAnsi" w:hAnsiTheme="minorHAnsi"/>
          <w:sz w:val="24"/>
          <w:szCs w:val="24"/>
        </w:rPr>
      </w:pPr>
      <w:r>
        <w:rPr>
          <w:rFonts w:asciiTheme="minorHAnsi" w:hAnsiTheme="minorHAnsi"/>
          <w:sz w:val="24"/>
          <w:szCs w:val="24"/>
        </w:rPr>
        <w:br w:type="page"/>
      </w:r>
    </w:p>
    <w:p w14:paraId="4DB27387" w14:textId="4053848E" w:rsidR="005E09B2" w:rsidRPr="001E5554" w:rsidRDefault="005E09B2" w:rsidP="005E09B2">
      <w:pPr>
        <w:rPr>
          <w:rFonts w:asciiTheme="minorHAnsi" w:hAnsiTheme="minorHAnsi"/>
          <w:sz w:val="24"/>
          <w:szCs w:val="24"/>
        </w:rPr>
      </w:pPr>
      <w:r w:rsidRPr="001E5554">
        <w:rPr>
          <w:rFonts w:asciiTheme="minorHAnsi" w:hAnsiTheme="minorHAnsi"/>
          <w:sz w:val="24"/>
          <w:szCs w:val="24"/>
        </w:rPr>
        <w:lastRenderedPageBreak/>
        <w:t xml:space="preserve">(vi) Evaluation of Fibrosis in Patients with Chronic HCV </w:t>
      </w:r>
      <w:r w:rsidRPr="001E5554">
        <w:rPr>
          <w:rFonts w:asciiTheme="minorHAnsi" w:hAnsiTheme="minorHAnsi"/>
          <w:sz w:val="24"/>
          <w:szCs w:val="24"/>
        </w:rPr>
        <w:fldChar w:fldCharType="begin"/>
      </w:r>
      <w:r w:rsidRPr="001E5554">
        <w:rPr>
          <w:rFonts w:asciiTheme="minorHAnsi" w:hAnsiTheme="minorHAnsi"/>
          <w:sz w:val="24"/>
          <w:szCs w:val="24"/>
        </w:rPr>
        <w:instrText xml:space="preserve"> ADDIN EN.CITE &lt;EndNote&gt;&lt;Cite&gt;&lt;Author&gt;Bhogal&lt;/Author&gt;&lt;Year&gt;2012&lt;/Year&gt;&lt;RecNum&gt;15&lt;/RecNum&gt;&lt;DisplayText&gt;[9]&lt;/DisplayText&gt;&lt;record&gt;&lt;rec-number&gt;15&lt;/rec-number&gt;&lt;foreign-keys&gt;&lt;key app="EN" db-id="p20z9pv99fpf26effrkppwd19tzvsxa9tdvx" timestamp="1417037078"&gt;15&lt;/key&gt;&lt;/foreign-keys&gt;&lt;ref-type name="Journal Article"&gt;17&lt;/ref-type&gt;&lt;contributors&gt;&lt;authors&gt;&lt;author&gt;Bhogal, H.&lt;/author&gt;&lt;author&gt;Sterling, R. K.&lt;/author&gt;&lt;/authors&gt;&lt;/contributors&gt;&lt;auth-address&gt;Division of Gastroenterology, Hepatology and Nutrition, Virginia Commonwealth University, Richmond, VA, USA.&lt;/auth-address&gt;&lt;titles&gt;&lt;title&gt;Staging of liver disease: which option is right for my patient?&lt;/title&gt;&lt;secondary-title&gt;Infect Dis Clin North Am&lt;/secondary-title&gt;&lt;alt-title&gt;Infectious disease clinics of North America&lt;/alt-title&gt;&lt;/titles&gt;&lt;periodical&gt;&lt;full-title&gt;Infect Dis Clin North Am&lt;/full-title&gt;&lt;abbr-1&gt;Infectious disease clinics of North America&lt;/abbr-1&gt;&lt;/periodical&gt;&lt;alt-periodical&gt;&lt;full-title&gt;Infect Dis Clin North Am&lt;/full-title&gt;&lt;abbr-1&gt;Infectious disease clinics of North America&lt;/abbr-1&gt;&lt;/alt-periodical&gt;&lt;pages&gt;849-61&lt;/pages&gt;&lt;volume&gt;26&lt;/volume&gt;&lt;number&gt;4&lt;/number&gt;&lt;keywords&gt;&lt;keyword&gt;Algorithms&lt;/keyword&gt;&lt;keyword&gt;Biological Markers/analysis&lt;/keyword&gt;&lt;keyword&gt;Biopsy&lt;/keyword&gt;&lt;keyword&gt;Diagnostic Imaging&lt;/keyword&gt;&lt;keyword&gt;Hepatitis C, Chronic/diagnosis/metabolism/*pathology/virology&lt;/keyword&gt;&lt;keyword&gt;Humans&lt;/keyword&gt;&lt;keyword&gt;Liver Cirrhosis/diagnosis/metabolism/*pathology/*virology&lt;/keyword&gt;&lt;keyword&gt;Severity of Illness Index&lt;/keyword&gt;&lt;/keywords&gt;&lt;dates&gt;&lt;year&gt;2012&lt;/year&gt;&lt;pub-dates&gt;&lt;date&gt;Dec&lt;/date&gt;&lt;/pub-dates&gt;&lt;/dates&gt;&lt;isbn&gt;1557-9824 (Electronic)&amp;#xD;0891-5520 (Linking)&lt;/isbn&gt;&lt;accession-num&gt;23083819&lt;/accession-num&gt;&lt;urls&gt;&lt;related-urls&gt;&lt;url&gt;http://www.ncbi.nlm.nih.gov/pubmed/23083819&lt;/url&gt;&lt;url&gt;http://ac.els-cdn.com/S0891552012000785/1-s2.0-S0891552012000785-main.pdf?_tid=ac61a73c-75b2-11e4-934c-00000aab0f6b&amp;amp;acdnat=1417037278_749d0e556025e4229e20c36dd565c6c5&lt;/url&gt;&lt;/related-urls&gt;&lt;/urls&gt;&lt;electronic-resource-num&gt;10.1016/j.idc.2012.08.002&lt;/electronic-resource-num&gt;&lt;/record&gt;&lt;/Cite&gt;&lt;/EndNote&gt;</w:instrText>
      </w:r>
      <w:r w:rsidRPr="001E5554">
        <w:rPr>
          <w:rFonts w:asciiTheme="minorHAnsi" w:hAnsiTheme="minorHAnsi"/>
          <w:sz w:val="24"/>
          <w:szCs w:val="24"/>
        </w:rPr>
        <w:fldChar w:fldCharType="separate"/>
      </w:r>
      <w:r w:rsidRPr="001E5554">
        <w:rPr>
          <w:rFonts w:asciiTheme="minorHAnsi" w:hAnsiTheme="minorHAnsi"/>
          <w:noProof/>
          <w:sz w:val="24"/>
          <w:szCs w:val="24"/>
        </w:rPr>
        <w:t>[9]</w:t>
      </w:r>
      <w:r w:rsidRPr="001E5554">
        <w:rPr>
          <w:rFonts w:asciiTheme="minorHAnsi" w:hAnsiTheme="minorHAnsi"/>
          <w:sz w:val="24"/>
          <w:szCs w:val="24"/>
        </w:rPr>
        <w:fldChar w:fldCharType="end"/>
      </w:r>
    </w:p>
    <w:p w14:paraId="6F4A7AF3" w14:textId="2BF1E8DD" w:rsidR="005E09B2" w:rsidRPr="001E5554" w:rsidRDefault="005E09B2" w:rsidP="005E09B2">
      <w:pPr>
        <w:rPr>
          <w:rFonts w:asciiTheme="minorHAnsi" w:hAnsiTheme="minorHAnsi"/>
          <w:sz w:val="24"/>
          <w:szCs w:val="24"/>
        </w:rPr>
      </w:pPr>
      <w:r w:rsidRPr="001E5554">
        <w:rPr>
          <w:rFonts w:asciiTheme="minorHAnsi" w:hAnsiTheme="minorHAnsi"/>
          <w:noProof/>
          <w:sz w:val="24"/>
          <w:szCs w:val="24"/>
          <w:lang w:bidi="ar-SA"/>
        </w:rPr>
        <w:drawing>
          <wp:inline distT="0" distB="0" distL="0" distR="0" wp14:anchorId="3A7EF357" wp14:editId="22E281D1">
            <wp:extent cx="5993621" cy="5554345"/>
            <wp:effectExtent l="0" t="0" r="127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98726" cy="5559075"/>
                    </a:xfrm>
                    <a:prstGeom prst="rect">
                      <a:avLst/>
                    </a:prstGeom>
                  </pic:spPr>
                </pic:pic>
              </a:graphicData>
            </a:graphic>
          </wp:inline>
        </w:drawing>
      </w:r>
    </w:p>
    <w:p w14:paraId="2F49E143" w14:textId="77777777" w:rsidR="003C5EDF" w:rsidRDefault="003C5EDF">
      <w:pPr>
        <w:spacing w:before="0" w:after="0" w:line="240" w:lineRule="auto"/>
        <w:rPr>
          <w:rFonts w:asciiTheme="minorHAnsi" w:hAnsiTheme="minorHAnsi"/>
          <w:sz w:val="24"/>
          <w:szCs w:val="24"/>
        </w:rPr>
      </w:pPr>
      <w:r>
        <w:rPr>
          <w:rFonts w:asciiTheme="minorHAnsi" w:hAnsiTheme="minorHAnsi"/>
          <w:sz w:val="24"/>
          <w:szCs w:val="24"/>
        </w:rPr>
        <w:br w:type="page"/>
      </w:r>
    </w:p>
    <w:p w14:paraId="175B9F09" w14:textId="18026784" w:rsidR="005E09B2" w:rsidRPr="001E5554" w:rsidRDefault="005E09B2" w:rsidP="005E09B2">
      <w:pPr>
        <w:rPr>
          <w:rFonts w:asciiTheme="minorHAnsi" w:hAnsiTheme="minorHAnsi"/>
          <w:sz w:val="24"/>
          <w:szCs w:val="24"/>
        </w:rPr>
      </w:pPr>
      <w:r w:rsidRPr="001E5554">
        <w:rPr>
          <w:rFonts w:asciiTheme="minorHAnsi" w:hAnsiTheme="minorHAnsi"/>
          <w:sz w:val="24"/>
          <w:szCs w:val="24"/>
        </w:rPr>
        <w:lastRenderedPageBreak/>
        <w:t xml:space="preserve">(vii) When and in Whom to Initiate HCV Therapy: Factors Associated with Accelerated Fibrosis Progression </w:t>
      </w:r>
      <w:r w:rsidRPr="001E5554">
        <w:rPr>
          <w:rFonts w:asciiTheme="minorHAnsi" w:hAnsiTheme="minorHAnsi"/>
          <w:sz w:val="24"/>
          <w:szCs w:val="24"/>
        </w:rPr>
        <w:fldChar w:fldCharType="begin"/>
      </w:r>
      <w:r w:rsidRPr="001E5554">
        <w:rPr>
          <w:rFonts w:asciiTheme="minorHAnsi" w:hAnsiTheme="minorHAnsi"/>
          <w:sz w:val="24"/>
          <w:szCs w:val="24"/>
        </w:rPr>
        <w:instrText xml:space="preserve"> ADDIN EN.CITE &lt;EndNote&gt;&lt;Cite&gt;&lt;Year&gt;2014&lt;/Year&gt;&lt;RecNum&gt;16&lt;/RecNum&gt;&lt;DisplayText&gt;[10]&lt;/DisplayText&gt;&lt;record&gt;&lt;rec-number&gt;16&lt;/rec-number&gt;&lt;foreign-keys&gt;&lt;key app="EN" db-id="p20z9pv99fpf26effrkppwd19tzvsxa9tdvx" timestamp="1417625702"&gt;16&lt;/key&gt;&lt;/foreign-keys&gt;&lt;ref-type name="Web Page"&gt;12&lt;/ref-type&gt;&lt;contributors&gt;&lt;/contributors&gt;&lt;titles&gt;&lt;title&gt;When and in Whom to Initiate HCV Therapy&lt;/title&gt;&lt;secondary-title&gt;Recommendations for Testing, Managing, and Treating Hepatitis C&lt;/secondary-title&gt;&lt;/titles&gt;&lt;volume&gt;2014&lt;/volume&gt;&lt;number&gt;December 3&lt;/number&gt;&lt;dates&gt;&lt;year&gt;2014&lt;/year&gt;&lt;pub-dates&gt;&lt;date&gt;November 20, 2014&lt;/date&gt;&lt;/pub-dates&gt;&lt;/dates&gt;&lt;publisher&gt;American Association for the Study of Liver Diseases; Infectious Diseases Society of America&lt;/publisher&gt;&lt;urls&gt;&lt;related-urls&gt;&lt;url&gt;http://www.hcvguidelines.org/full-report/when-and-whom-initiate-hcv-therapy&lt;/url&gt;&lt;/related-urls&gt;&lt;/urls&gt;&lt;custom1&gt;2014&lt;/custom1&gt;&lt;custom2&gt;December 3&lt;/custom2&gt;&lt;/record&gt;&lt;/Cite&gt;&lt;/EndNote&gt;</w:instrText>
      </w:r>
      <w:r w:rsidRPr="001E5554">
        <w:rPr>
          <w:rFonts w:asciiTheme="minorHAnsi" w:hAnsiTheme="minorHAnsi"/>
          <w:sz w:val="24"/>
          <w:szCs w:val="24"/>
        </w:rPr>
        <w:fldChar w:fldCharType="separate"/>
      </w:r>
      <w:r w:rsidRPr="001E5554">
        <w:rPr>
          <w:rFonts w:asciiTheme="minorHAnsi" w:hAnsiTheme="minorHAnsi"/>
          <w:noProof/>
          <w:sz w:val="24"/>
          <w:szCs w:val="24"/>
        </w:rPr>
        <w:t>[10]</w:t>
      </w:r>
      <w:r w:rsidRPr="001E5554">
        <w:rPr>
          <w:rFonts w:asciiTheme="minorHAnsi" w:hAnsiTheme="minorHAnsi"/>
          <w:sz w:val="24"/>
          <w:szCs w:val="24"/>
        </w:rPr>
        <w:fldChar w:fldCharType="end"/>
      </w:r>
    </w:p>
    <w:tbl>
      <w:tblPr>
        <w:tblStyle w:val="TableGrid"/>
        <w:tblW w:w="0" w:type="auto"/>
        <w:tblLook w:val="04A0" w:firstRow="1" w:lastRow="0" w:firstColumn="1" w:lastColumn="0" w:noHBand="0" w:noVBand="1"/>
      </w:tblPr>
      <w:tblGrid>
        <w:gridCol w:w="4671"/>
        <w:gridCol w:w="4689"/>
      </w:tblGrid>
      <w:tr w:rsidR="005E09B2" w:rsidRPr="001E5554" w14:paraId="5FFEB618" w14:textId="77777777" w:rsidTr="0043792E">
        <w:tc>
          <w:tcPr>
            <w:tcW w:w="4788" w:type="dxa"/>
            <w:tcBorders>
              <w:top w:val="nil"/>
              <w:left w:val="nil"/>
              <w:bottom w:val="single" w:sz="4" w:space="0" w:color="auto"/>
              <w:right w:val="nil"/>
            </w:tcBorders>
          </w:tcPr>
          <w:p w14:paraId="30F0DF55" w14:textId="77777777" w:rsidR="005E09B2" w:rsidRPr="001E5554" w:rsidRDefault="005E09B2" w:rsidP="0043792E">
            <w:pPr>
              <w:spacing w:before="0" w:after="0" w:line="240" w:lineRule="auto"/>
              <w:rPr>
                <w:b/>
                <w:sz w:val="24"/>
                <w:szCs w:val="24"/>
              </w:rPr>
            </w:pPr>
            <w:r w:rsidRPr="001E5554">
              <w:rPr>
                <w:b/>
                <w:sz w:val="24"/>
                <w:szCs w:val="24"/>
              </w:rPr>
              <w:t>Host</w:t>
            </w:r>
          </w:p>
        </w:tc>
        <w:tc>
          <w:tcPr>
            <w:tcW w:w="4788" w:type="dxa"/>
            <w:tcBorders>
              <w:top w:val="nil"/>
              <w:left w:val="nil"/>
              <w:bottom w:val="single" w:sz="4" w:space="0" w:color="auto"/>
              <w:right w:val="nil"/>
            </w:tcBorders>
          </w:tcPr>
          <w:p w14:paraId="23B48929" w14:textId="77777777" w:rsidR="005E09B2" w:rsidRPr="001E5554" w:rsidRDefault="005E09B2" w:rsidP="0043792E">
            <w:pPr>
              <w:spacing w:before="0" w:after="0" w:line="240" w:lineRule="auto"/>
              <w:rPr>
                <w:b/>
                <w:sz w:val="24"/>
                <w:szCs w:val="24"/>
              </w:rPr>
            </w:pPr>
            <w:r w:rsidRPr="001E5554">
              <w:rPr>
                <w:b/>
                <w:sz w:val="24"/>
                <w:szCs w:val="24"/>
              </w:rPr>
              <w:t>Viral</w:t>
            </w:r>
          </w:p>
        </w:tc>
      </w:tr>
      <w:tr w:rsidR="005E09B2" w:rsidRPr="001E5554" w14:paraId="0AC4E95F" w14:textId="77777777" w:rsidTr="0043792E">
        <w:tc>
          <w:tcPr>
            <w:tcW w:w="4788" w:type="dxa"/>
            <w:tcBorders>
              <w:top w:val="single" w:sz="4" w:space="0" w:color="auto"/>
              <w:left w:val="nil"/>
              <w:bottom w:val="nil"/>
              <w:right w:val="nil"/>
            </w:tcBorders>
          </w:tcPr>
          <w:p w14:paraId="499CAC81" w14:textId="77777777" w:rsidR="005E09B2" w:rsidRPr="001E5554" w:rsidRDefault="005E09B2" w:rsidP="0043792E">
            <w:pPr>
              <w:spacing w:before="0" w:after="0" w:line="240" w:lineRule="auto"/>
              <w:rPr>
                <w:b/>
                <w:sz w:val="24"/>
                <w:szCs w:val="24"/>
              </w:rPr>
            </w:pPr>
            <w:r w:rsidRPr="001E5554">
              <w:rPr>
                <w:b/>
                <w:sz w:val="24"/>
                <w:szCs w:val="24"/>
              </w:rPr>
              <w:t>Non-Modifiable</w:t>
            </w:r>
          </w:p>
        </w:tc>
        <w:tc>
          <w:tcPr>
            <w:tcW w:w="4788" w:type="dxa"/>
            <w:tcBorders>
              <w:top w:val="single" w:sz="4" w:space="0" w:color="auto"/>
              <w:left w:val="nil"/>
              <w:bottom w:val="nil"/>
              <w:right w:val="nil"/>
            </w:tcBorders>
          </w:tcPr>
          <w:p w14:paraId="1A92BF63" w14:textId="77777777" w:rsidR="005E09B2" w:rsidRPr="001E5554" w:rsidRDefault="005E09B2" w:rsidP="0043792E">
            <w:pPr>
              <w:spacing w:before="0" w:after="0" w:line="240" w:lineRule="auto"/>
              <w:rPr>
                <w:sz w:val="24"/>
                <w:szCs w:val="24"/>
              </w:rPr>
            </w:pPr>
            <w:r w:rsidRPr="001E5554">
              <w:rPr>
                <w:sz w:val="24"/>
                <w:szCs w:val="24"/>
              </w:rPr>
              <w:t>Genotype 3</w:t>
            </w:r>
          </w:p>
        </w:tc>
      </w:tr>
      <w:tr w:rsidR="005E09B2" w:rsidRPr="001E5554" w14:paraId="0AA8497F" w14:textId="77777777" w:rsidTr="0043792E">
        <w:tc>
          <w:tcPr>
            <w:tcW w:w="4788" w:type="dxa"/>
            <w:tcBorders>
              <w:top w:val="nil"/>
              <w:left w:val="nil"/>
              <w:bottom w:val="nil"/>
              <w:right w:val="nil"/>
            </w:tcBorders>
          </w:tcPr>
          <w:p w14:paraId="3F39A206" w14:textId="77777777" w:rsidR="005E09B2" w:rsidRPr="001E5554" w:rsidRDefault="005E09B2" w:rsidP="0043792E">
            <w:pPr>
              <w:spacing w:before="0" w:after="0" w:line="240" w:lineRule="auto"/>
              <w:rPr>
                <w:sz w:val="24"/>
                <w:szCs w:val="24"/>
              </w:rPr>
            </w:pPr>
            <w:r w:rsidRPr="001E5554">
              <w:rPr>
                <w:sz w:val="24"/>
                <w:szCs w:val="24"/>
              </w:rPr>
              <w:t>Fibrosis stage</w:t>
            </w:r>
          </w:p>
        </w:tc>
        <w:tc>
          <w:tcPr>
            <w:tcW w:w="4788" w:type="dxa"/>
            <w:tcBorders>
              <w:top w:val="nil"/>
              <w:left w:val="nil"/>
              <w:bottom w:val="nil"/>
              <w:right w:val="nil"/>
            </w:tcBorders>
          </w:tcPr>
          <w:p w14:paraId="2109A915" w14:textId="77777777" w:rsidR="005E09B2" w:rsidRPr="001E5554" w:rsidRDefault="005E09B2" w:rsidP="0043792E">
            <w:pPr>
              <w:spacing w:before="0" w:after="0" w:line="240" w:lineRule="auto"/>
              <w:rPr>
                <w:sz w:val="24"/>
                <w:szCs w:val="24"/>
              </w:rPr>
            </w:pPr>
            <w:r w:rsidRPr="001E5554">
              <w:rPr>
                <w:sz w:val="24"/>
                <w:szCs w:val="24"/>
              </w:rPr>
              <w:t>Co-infection with hepatitis B virus (HBV)</w:t>
            </w:r>
          </w:p>
        </w:tc>
      </w:tr>
      <w:tr w:rsidR="005E09B2" w:rsidRPr="001E5554" w14:paraId="658C2905" w14:textId="77777777" w:rsidTr="0043792E">
        <w:tc>
          <w:tcPr>
            <w:tcW w:w="4788" w:type="dxa"/>
            <w:tcBorders>
              <w:top w:val="nil"/>
              <w:left w:val="nil"/>
              <w:bottom w:val="nil"/>
              <w:right w:val="nil"/>
            </w:tcBorders>
          </w:tcPr>
          <w:p w14:paraId="75184FD2" w14:textId="77777777" w:rsidR="005E09B2" w:rsidRPr="001E5554" w:rsidRDefault="005E09B2" w:rsidP="0043792E">
            <w:pPr>
              <w:spacing w:before="0" w:after="0" w:line="240" w:lineRule="auto"/>
              <w:rPr>
                <w:sz w:val="24"/>
                <w:szCs w:val="24"/>
              </w:rPr>
            </w:pPr>
            <w:r w:rsidRPr="001E5554">
              <w:rPr>
                <w:sz w:val="24"/>
                <w:szCs w:val="24"/>
              </w:rPr>
              <w:t>Inflammation grade</w:t>
            </w:r>
          </w:p>
        </w:tc>
        <w:tc>
          <w:tcPr>
            <w:tcW w:w="4788" w:type="dxa"/>
            <w:tcBorders>
              <w:top w:val="nil"/>
              <w:left w:val="nil"/>
              <w:bottom w:val="nil"/>
              <w:right w:val="nil"/>
            </w:tcBorders>
          </w:tcPr>
          <w:p w14:paraId="40BB1E74" w14:textId="77777777" w:rsidR="005E09B2" w:rsidRPr="001E5554" w:rsidRDefault="005E09B2" w:rsidP="0043792E">
            <w:pPr>
              <w:spacing w:before="0" w:after="0" w:line="240" w:lineRule="auto"/>
              <w:rPr>
                <w:sz w:val="24"/>
                <w:szCs w:val="24"/>
              </w:rPr>
            </w:pPr>
            <w:r w:rsidRPr="001E5554">
              <w:rPr>
                <w:sz w:val="24"/>
                <w:szCs w:val="24"/>
              </w:rPr>
              <w:t>Co-infection with human immunodeficiency virus (HIV)</w:t>
            </w:r>
          </w:p>
        </w:tc>
      </w:tr>
      <w:tr w:rsidR="005E09B2" w:rsidRPr="001E5554" w14:paraId="485C7090" w14:textId="77777777" w:rsidTr="0043792E">
        <w:tc>
          <w:tcPr>
            <w:tcW w:w="4788" w:type="dxa"/>
            <w:tcBorders>
              <w:top w:val="nil"/>
              <w:left w:val="nil"/>
              <w:bottom w:val="nil"/>
              <w:right w:val="nil"/>
            </w:tcBorders>
          </w:tcPr>
          <w:p w14:paraId="4D0E9FB3" w14:textId="77777777" w:rsidR="005E09B2" w:rsidRPr="001E5554" w:rsidRDefault="005E09B2" w:rsidP="0043792E">
            <w:pPr>
              <w:spacing w:before="0" w:after="0" w:line="240" w:lineRule="auto"/>
              <w:rPr>
                <w:sz w:val="24"/>
                <w:szCs w:val="24"/>
              </w:rPr>
            </w:pPr>
            <w:r w:rsidRPr="001E5554">
              <w:rPr>
                <w:sz w:val="24"/>
                <w:szCs w:val="24"/>
              </w:rPr>
              <w:t>Older age at time of infection</w:t>
            </w:r>
          </w:p>
        </w:tc>
        <w:tc>
          <w:tcPr>
            <w:tcW w:w="4788" w:type="dxa"/>
            <w:tcBorders>
              <w:top w:val="nil"/>
              <w:left w:val="nil"/>
              <w:bottom w:val="nil"/>
              <w:right w:val="nil"/>
            </w:tcBorders>
          </w:tcPr>
          <w:p w14:paraId="45116BAC" w14:textId="77777777" w:rsidR="005E09B2" w:rsidRPr="001E5554" w:rsidRDefault="005E09B2" w:rsidP="0043792E">
            <w:pPr>
              <w:spacing w:before="0" w:after="0" w:line="240" w:lineRule="auto"/>
              <w:rPr>
                <w:sz w:val="24"/>
                <w:szCs w:val="24"/>
              </w:rPr>
            </w:pPr>
          </w:p>
        </w:tc>
      </w:tr>
      <w:tr w:rsidR="005E09B2" w:rsidRPr="001E5554" w14:paraId="4F23D847" w14:textId="77777777" w:rsidTr="0043792E">
        <w:tc>
          <w:tcPr>
            <w:tcW w:w="4788" w:type="dxa"/>
            <w:tcBorders>
              <w:top w:val="nil"/>
              <w:left w:val="nil"/>
              <w:bottom w:val="nil"/>
              <w:right w:val="nil"/>
            </w:tcBorders>
          </w:tcPr>
          <w:p w14:paraId="1D571E4E" w14:textId="77777777" w:rsidR="005E09B2" w:rsidRPr="001E5554" w:rsidRDefault="005E09B2" w:rsidP="0043792E">
            <w:pPr>
              <w:spacing w:before="0" w:after="0" w:line="240" w:lineRule="auto"/>
              <w:rPr>
                <w:sz w:val="24"/>
                <w:szCs w:val="24"/>
              </w:rPr>
            </w:pPr>
            <w:r w:rsidRPr="001E5554">
              <w:rPr>
                <w:sz w:val="24"/>
                <w:szCs w:val="24"/>
              </w:rPr>
              <w:t>Male sex</w:t>
            </w:r>
          </w:p>
        </w:tc>
        <w:tc>
          <w:tcPr>
            <w:tcW w:w="4788" w:type="dxa"/>
            <w:tcBorders>
              <w:top w:val="nil"/>
              <w:left w:val="nil"/>
              <w:bottom w:val="nil"/>
              <w:right w:val="nil"/>
            </w:tcBorders>
          </w:tcPr>
          <w:p w14:paraId="32324F95" w14:textId="77777777" w:rsidR="005E09B2" w:rsidRPr="001E5554" w:rsidRDefault="005E09B2" w:rsidP="0043792E">
            <w:pPr>
              <w:spacing w:before="0" w:after="0" w:line="240" w:lineRule="auto"/>
              <w:rPr>
                <w:sz w:val="24"/>
                <w:szCs w:val="24"/>
              </w:rPr>
            </w:pPr>
          </w:p>
        </w:tc>
      </w:tr>
      <w:tr w:rsidR="005E09B2" w:rsidRPr="001E5554" w14:paraId="777608EC" w14:textId="77777777" w:rsidTr="0043792E">
        <w:tc>
          <w:tcPr>
            <w:tcW w:w="4788" w:type="dxa"/>
            <w:tcBorders>
              <w:top w:val="nil"/>
              <w:left w:val="nil"/>
              <w:bottom w:val="nil"/>
              <w:right w:val="nil"/>
            </w:tcBorders>
          </w:tcPr>
          <w:p w14:paraId="2D2CEAC5" w14:textId="77777777" w:rsidR="005E09B2" w:rsidRPr="001E5554" w:rsidRDefault="005E09B2" w:rsidP="0043792E">
            <w:pPr>
              <w:spacing w:before="0" w:after="0" w:line="240" w:lineRule="auto"/>
              <w:rPr>
                <w:sz w:val="24"/>
                <w:szCs w:val="24"/>
              </w:rPr>
            </w:pPr>
            <w:r w:rsidRPr="001E5554">
              <w:rPr>
                <w:sz w:val="24"/>
                <w:szCs w:val="24"/>
              </w:rPr>
              <w:t>Organ transplant</w:t>
            </w:r>
          </w:p>
        </w:tc>
        <w:tc>
          <w:tcPr>
            <w:tcW w:w="4788" w:type="dxa"/>
            <w:tcBorders>
              <w:top w:val="nil"/>
              <w:left w:val="nil"/>
              <w:bottom w:val="nil"/>
              <w:right w:val="nil"/>
            </w:tcBorders>
          </w:tcPr>
          <w:p w14:paraId="2F374C47" w14:textId="77777777" w:rsidR="005E09B2" w:rsidRPr="001E5554" w:rsidRDefault="005E09B2" w:rsidP="0043792E">
            <w:pPr>
              <w:spacing w:before="0" w:after="0" w:line="240" w:lineRule="auto"/>
              <w:rPr>
                <w:sz w:val="24"/>
                <w:szCs w:val="24"/>
              </w:rPr>
            </w:pPr>
          </w:p>
        </w:tc>
      </w:tr>
      <w:tr w:rsidR="005E09B2" w:rsidRPr="001E5554" w14:paraId="48914E6B" w14:textId="77777777" w:rsidTr="0043792E">
        <w:tc>
          <w:tcPr>
            <w:tcW w:w="4788" w:type="dxa"/>
            <w:tcBorders>
              <w:top w:val="nil"/>
              <w:left w:val="nil"/>
              <w:bottom w:val="nil"/>
              <w:right w:val="nil"/>
            </w:tcBorders>
          </w:tcPr>
          <w:p w14:paraId="06412A5E" w14:textId="77777777" w:rsidR="005E09B2" w:rsidRPr="001E5554" w:rsidRDefault="005E09B2" w:rsidP="0043792E">
            <w:pPr>
              <w:spacing w:before="0" w:after="0" w:line="240" w:lineRule="auto"/>
              <w:rPr>
                <w:sz w:val="24"/>
                <w:szCs w:val="24"/>
              </w:rPr>
            </w:pPr>
          </w:p>
        </w:tc>
        <w:tc>
          <w:tcPr>
            <w:tcW w:w="4788" w:type="dxa"/>
            <w:tcBorders>
              <w:top w:val="nil"/>
              <w:left w:val="nil"/>
              <w:bottom w:val="nil"/>
              <w:right w:val="nil"/>
            </w:tcBorders>
          </w:tcPr>
          <w:p w14:paraId="0D030988" w14:textId="77777777" w:rsidR="005E09B2" w:rsidRPr="001E5554" w:rsidRDefault="005E09B2" w:rsidP="0043792E">
            <w:pPr>
              <w:spacing w:before="0" w:after="0" w:line="240" w:lineRule="auto"/>
              <w:rPr>
                <w:sz w:val="24"/>
                <w:szCs w:val="24"/>
              </w:rPr>
            </w:pPr>
          </w:p>
        </w:tc>
      </w:tr>
      <w:tr w:rsidR="005E09B2" w:rsidRPr="001E5554" w14:paraId="03E69DFF" w14:textId="77777777" w:rsidTr="0043792E">
        <w:tc>
          <w:tcPr>
            <w:tcW w:w="4788" w:type="dxa"/>
            <w:tcBorders>
              <w:top w:val="nil"/>
              <w:left w:val="nil"/>
              <w:bottom w:val="nil"/>
              <w:right w:val="nil"/>
            </w:tcBorders>
          </w:tcPr>
          <w:p w14:paraId="097A3890" w14:textId="77777777" w:rsidR="005E09B2" w:rsidRPr="001E5554" w:rsidRDefault="005E09B2" w:rsidP="0043792E">
            <w:pPr>
              <w:spacing w:before="0" w:after="0" w:line="240" w:lineRule="auto"/>
              <w:rPr>
                <w:b/>
                <w:sz w:val="24"/>
                <w:szCs w:val="24"/>
              </w:rPr>
            </w:pPr>
            <w:r w:rsidRPr="001E5554">
              <w:rPr>
                <w:b/>
                <w:sz w:val="24"/>
                <w:szCs w:val="24"/>
              </w:rPr>
              <w:t>Modifiable</w:t>
            </w:r>
          </w:p>
        </w:tc>
        <w:tc>
          <w:tcPr>
            <w:tcW w:w="4788" w:type="dxa"/>
            <w:tcBorders>
              <w:top w:val="nil"/>
              <w:left w:val="nil"/>
              <w:bottom w:val="nil"/>
              <w:right w:val="nil"/>
            </w:tcBorders>
          </w:tcPr>
          <w:p w14:paraId="30D8B00D" w14:textId="77777777" w:rsidR="005E09B2" w:rsidRPr="001E5554" w:rsidRDefault="005E09B2" w:rsidP="0043792E">
            <w:pPr>
              <w:spacing w:before="0" w:after="0" w:line="240" w:lineRule="auto"/>
              <w:rPr>
                <w:sz w:val="24"/>
                <w:szCs w:val="24"/>
              </w:rPr>
            </w:pPr>
          </w:p>
        </w:tc>
      </w:tr>
      <w:tr w:rsidR="005E09B2" w:rsidRPr="001E5554" w14:paraId="160F97B0" w14:textId="77777777" w:rsidTr="0043792E">
        <w:tc>
          <w:tcPr>
            <w:tcW w:w="4788" w:type="dxa"/>
            <w:tcBorders>
              <w:top w:val="nil"/>
              <w:left w:val="nil"/>
              <w:bottom w:val="nil"/>
              <w:right w:val="nil"/>
            </w:tcBorders>
          </w:tcPr>
          <w:p w14:paraId="4147E6C0" w14:textId="77777777" w:rsidR="005E09B2" w:rsidRPr="001E5554" w:rsidRDefault="005E09B2" w:rsidP="0043792E">
            <w:pPr>
              <w:spacing w:before="0" w:after="0" w:line="240" w:lineRule="auto"/>
              <w:rPr>
                <w:sz w:val="24"/>
                <w:szCs w:val="24"/>
              </w:rPr>
            </w:pPr>
            <w:r w:rsidRPr="001E5554">
              <w:rPr>
                <w:sz w:val="24"/>
                <w:szCs w:val="24"/>
              </w:rPr>
              <w:t>Alcohol consumption</w:t>
            </w:r>
          </w:p>
        </w:tc>
        <w:tc>
          <w:tcPr>
            <w:tcW w:w="4788" w:type="dxa"/>
            <w:tcBorders>
              <w:top w:val="nil"/>
              <w:left w:val="nil"/>
              <w:bottom w:val="nil"/>
              <w:right w:val="nil"/>
            </w:tcBorders>
          </w:tcPr>
          <w:p w14:paraId="7E6C268B" w14:textId="77777777" w:rsidR="005E09B2" w:rsidRPr="001E5554" w:rsidRDefault="005E09B2" w:rsidP="0043792E">
            <w:pPr>
              <w:spacing w:before="0" w:after="0" w:line="240" w:lineRule="auto"/>
              <w:rPr>
                <w:sz w:val="24"/>
                <w:szCs w:val="24"/>
              </w:rPr>
            </w:pPr>
          </w:p>
        </w:tc>
      </w:tr>
      <w:tr w:rsidR="005E09B2" w:rsidRPr="001E5554" w14:paraId="144E3371" w14:textId="77777777" w:rsidTr="0043792E">
        <w:tc>
          <w:tcPr>
            <w:tcW w:w="4788" w:type="dxa"/>
            <w:tcBorders>
              <w:top w:val="nil"/>
              <w:left w:val="nil"/>
              <w:bottom w:val="nil"/>
              <w:right w:val="nil"/>
            </w:tcBorders>
          </w:tcPr>
          <w:p w14:paraId="6F3AF1B5" w14:textId="77777777" w:rsidR="005E09B2" w:rsidRPr="001E5554" w:rsidRDefault="005E09B2" w:rsidP="0043792E">
            <w:pPr>
              <w:spacing w:before="0" w:after="0" w:line="240" w:lineRule="auto"/>
              <w:rPr>
                <w:sz w:val="24"/>
                <w:szCs w:val="24"/>
              </w:rPr>
            </w:pPr>
            <w:r w:rsidRPr="001E5554">
              <w:rPr>
                <w:sz w:val="24"/>
                <w:szCs w:val="24"/>
              </w:rPr>
              <w:t>Obesity</w:t>
            </w:r>
          </w:p>
        </w:tc>
        <w:tc>
          <w:tcPr>
            <w:tcW w:w="4788" w:type="dxa"/>
            <w:tcBorders>
              <w:top w:val="nil"/>
              <w:left w:val="nil"/>
              <w:bottom w:val="nil"/>
              <w:right w:val="nil"/>
            </w:tcBorders>
          </w:tcPr>
          <w:p w14:paraId="4357A47D" w14:textId="77777777" w:rsidR="005E09B2" w:rsidRPr="001E5554" w:rsidRDefault="005E09B2" w:rsidP="0043792E">
            <w:pPr>
              <w:spacing w:before="0" w:after="0" w:line="240" w:lineRule="auto"/>
              <w:rPr>
                <w:sz w:val="24"/>
                <w:szCs w:val="24"/>
              </w:rPr>
            </w:pPr>
          </w:p>
        </w:tc>
      </w:tr>
      <w:tr w:rsidR="005E09B2" w:rsidRPr="001E5554" w14:paraId="0C38A56E" w14:textId="77777777" w:rsidTr="0043792E">
        <w:tc>
          <w:tcPr>
            <w:tcW w:w="4788" w:type="dxa"/>
            <w:tcBorders>
              <w:top w:val="nil"/>
              <w:left w:val="nil"/>
              <w:bottom w:val="nil"/>
              <w:right w:val="nil"/>
            </w:tcBorders>
          </w:tcPr>
          <w:p w14:paraId="17183C56" w14:textId="77777777" w:rsidR="005E09B2" w:rsidRPr="001E5554" w:rsidRDefault="005E09B2" w:rsidP="0043792E">
            <w:pPr>
              <w:spacing w:before="0" w:after="0" w:line="240" w:lineRule="auto"/>
              <w:rPr>
                <w:sz w:val="24"/>
                <w:szCs w:val="24"/>
              </w:rPr>
            </w:pPr>
            <w:r w:rsidRPr="001E5554">
              <w:rPr>
                <w:sz w:val="24"/>
                <w:szCs w:val="24"/>
              </w:rPr>
              <w:t>Nonalcoholic fatty liver disease</w:t>
            </w:r>
          </w:p>
        </w:tc>
        <w:tc>
          <w:tcPr>
            <w:tcW w:w="4788" w:type="dxa"/>
            <w:tcBorders>
              <w:top w:val="nil"/>
              <w:left w:val="nil"/>
              <w:bottom w:val="nil"/>
              <w:right w:val="nil"/>
            </w:tcBorders>
          </w:tcPr>
          <w:p w14:paraId="17CF7142" w14:textId="77777777" w:rsidR="005E09B2" w:rsidRPr="001E5554" w:rsidRDefault="005E09B2" w:rsidP="0043792E">
            <w:pPr>
              <w:spacing w:before="0" w:after="0" w:line="240" w:lineRule="auto"/>
              <w:rPr>
                <w:sz w:val="24"/>
                <w:szCs w:val="24"/>
              </w:rPr>
            </w:pPr>
          </w:p>
        </w:tc>
      </w:tr>
      <w:tr w:rsidR="005E09B2" w:rsidRPr="001E5554" w14:paraId="7A3F24A6" w14:textId="77777777" w:rsidTr="0043792E">
        <w:tc>
          <w:tcPr>
            <w:tcW w:w="4788" w:type="dxa"/>
            <w:tcBorders>
              <w:top w:val="nil"/>
              <w:left w:val="nil"/>
              <w:bottom w:val="nil"/>
              <w:right w:val="nil"/>
            </w:tcBorders>
          </w:tcPr>
          <w:p w14:paraId="742F2621" w14:textId="77777777" w:rsidR="005E09B2" w:rsidRPr="001E5554" w:rsidRDefault="005E09B2" w:rsidP="0043792E">
            <w:pPr>
              <w:spacing w:before="0" w:after="0" w:line="240" w:lineRule="auto"/>
              <w:rPr>
                <w:sz w:val="24"/>
                <w:szCs w:val="24"/>
              </w:rPr>
            </w:pPr>
            <w:r w:rsidRPr="001E5554">
              <w:rPr>
                <w:sz w:val="24"/>
                <w:szCs w:val="24"/>
              </w:rPr>
              <w:t>Insulin resistance</w:t>
            </w:r>
          </w:p>
        </w:tc>
        <w:tc>
          <w:tcPr>
            <w:tcW w:w="4788" w:type="dxa"/>
            <w:tcBorders>
              <w:top w:val="nil"/>
              <w:left w:val="nil"/>
              <w:bottom w:val="nil"/>
              <w:right w:val="nil"/>
            </w:tcBorders>
          </w:tcPr>
          <w:p w14:paraId="4FD6B088" w14:textId="77777777" w:rsidR="005E09B2" w:rsidRPr="001E5554" w:rsidRDefault="005E09B2" w:rsidP="0043792E">
            <w:pPr>
              <w:spacing w:before="0" w:after="0" w:line="240" w:lineRule="auto"/>
              <w:rPr>
                <w:sz w:val="24"/>
                <w:szCs w:val="24"/>
              </w:rPr>
            </w:pPr>
          </w:p>
        </w:tc>
      </w:tr>
    </w:tbl>
    <w:p w14:paraId="1C2EFFFA" w14:textId="77777777" w:rsidR="003C5EDF" w:rsidRDefault="003C5EDF" w:rsidP="005E09B2">
      <w:pPr>
        <w:rPr>
          <w:rFonts w:asciiTheme="minorHAnsi" w:hAnsiTheme="minorHAnsi"/>
          <w:sz w:val="24"/>
          <w:szCs w:val="24"/>
        </w:rPr>
      </w:pPr>
    </w:p>
    <w:p w14:paraId="04155E82" w14:textId="77777777" w:rsidR="003C5EDF" w:rsidRDefault="003C5EDF">
      <w:pPr>
        <w:spacing w:before="0" w:after="0" w:line="240" w:lineRule="auto"/>
        <w:rPr>
          <w:rFonts w:asciiTheme="minorHAnsi" w:hAnsiTheme="minorHAnsi"/>
          <w:sz w:val="24"/>
          <w:szCs w:val="24"/>
        </w:rPr>
      </w:pPr>
      <w:r>
        <w:rPr>
          <w:rFonts w:asciiTheme="minorHAnsi" w:hAnsiTheme="minorHAnsi"/>
          <w:sz w:val="24"/>
          <w:szCs w:val="24"/>
        </w:rPr>
        <w:br w:type="page"/>
      </w:r>
    </w:p>
    <w:p w14:paraId="33539498" w14:textId="22EC359A" w:rsidR="008B02A4" w:rsidRPr="00750C6E" w:rsidRDefault="005E09B2" w:rsidP="008B02A4">
      <w:pPr>
        <w:rPr>
          <w:b/>
          <w:u w:val="single"/>
        </w:rPr>
      </w:pPr>
      <w:r>
        <w:rPr>
          <w:rFonts w:asciiTheme="minorHAnsi" w:hAnsiTheme="minorHAnsi"/>
          <w:sz w:val="24"/>
          <w:szCs w:val="24"/>
        </w:rPr>
        <w:lastRenderedPageBreak/>
        <w:t xml:space="preserve">(viii) </w:t>
      </w:r>
      <w:r w:rsidR="008B02A4" w:rsidRPr="00750C6E">
        <w:rPr>
          <w:b/>
          <w:u w:val="single"/>
        </w:rPr>
        <w:t>Hepatitis C Pre-Treatment C</w:t>
      </w:r>
      <w:r w:rsidR="008B02A4">
        <w:rPr>
          <w:b/>
          <w:u w:val="single"/>
        </w:rPr>
        <w:t>hecklist</w:t>
      </w:r>
      <w:r w:rsidR="008B02A4" w:rsidRPr="00750C6E">
        <w:rPr>
          <w:b/>
          <w:u w:val="single"/>
        </w:rPr>
        <w:t xml:space="preserve">: </w:t>
      </w:r>
    </w:p>
    <w:p w14:paraId="28785819" w14:textId="77777777" w:rsidR="008B02A4" w:rsidRPr="00750C6E" w:rsidRDefault="008B02A4" w:rsidP="008B02A4">
      <w:pPr>
        <w:spacing w:line="240" w:lineRule="auto"/>
        <w:rPr>
          <w:b/>
        </w:rPr>
      </w:pPr>
      <w:r w:rsidRPr="00750C6E">
        <w:rPr>
          <w:b/>
        </w:rPr>
        <w:t xml:space="preserve">• Labs:  </w:t>
      </w:r>
    </w:p>
    <w:p w14:paraId="2BD8787F" w14:textId="77777777" w:rsidR="008B02A4" w:rsidRPr="00750C6E" w:rsidRDefault="008B02A4" w:rsidP="008B02A4">
      <w:pPr>
        <w:spacing w:line="240" w:lineRule="auto"/>
        <w:ind w:firstLine="720"/>
      </w:pPr>
      <w:r w:rsidRPr="00750C6E">
        <w:rPr>
          <w:b/>
        </w:rPr>
        <w:t>Immediately prior:</w:t>
      </w:r>
      <w:r w:rsidRPr="00750C6E">
        <w:t xml:space="preserve">  </w:t>
      </w:r>
      <w:r>
        <w:tab/>
      </w:r>
      <w:r>
        <w:tab/>
      </w:r>
      <w:r w:rsidRPr="00750C6E">
        <w:t xml:space="preserve">□ Pregnancy test   </w:t>
      </w:r>
      <w:r>
        <w:tab/>
      </w:r>
      <w:r w:rsidRPr="00750C6E">
        <w:t xml:space="preserve">□ Uric Acid (with ribavirin)  </w:t>
      </w:r>
    </w:p>
    <w:p w14:paraId="2A936991" w14:textId="77777777" w:rsidR="008B02A4" w:rsidRPr="00750C6E" w:rsidRDefault="008B02A4" w:rsidP="008B02A4">
      <w:pPr>
        <w:spacing w:line="240" w:lineRule="auto"/>
        <w:ind w:firstLine="720"/>
      </w:pPr>
      <w:r w:rsidRPr="00750C6E">
        <w:rPr>
          <w:b/>
        </w:rPr>
        <w:t>Within 1 month:</w:t>
      </w:r>
      <w:r w:rsidRPr="00750C6E">
        <w:t xml:space="preserve"> </w:t>
      </w:r>
      <w:r>
        <w:t xml:space="preserve"> </w:t>
      </w:r>
      <w:r>
        <w:tab/>
      </w:r>
      <w:r>
        <w:tab/>
      </w:r>
      <w:r w:rsidRPr="00750C6E">
        <w:t xml:space="preserve">□ Complete Blood Count with differential     </w:t>
      </w:r>
    </w:p>
    <w:p w14:paraId="7445B9D0" w14:textId="77777777" w:rsidR="008B02A4" w:rsidRPr="00750C6E" w:rsidRDefault="008B02A4" w:rsidP="008B02A4">
      <w:pPr>
        <w:spacing w:line="240" w:lineRule="auto"/>
        <w:ind w:left="3600"/>
      </w:pPr>
      <w:r w:rsidRPr="00750C6E">
        <w:t xml:space="preserve">□ Comprehensive Metabolic Panel      (If GFR &lt;30, do not start treatment; consult Liver Disease Specialist)     </w:t>
      </w:r>
    </w:p>
    <w:p w14:paraId="31F64E1C" w14:textId="77777777" w:rsidR="008B02A4" w:rsidRPr="00750C6E" w:rsidRDefault="008B02A4" w:rsidP="008B02A4">
      <w:pPr>
        <w:spacing w:line="240" w:lineRule="auto"/>
        <w:ind w:left="2880" w:firstLine="720"/>
      </w:pPr>
      <w:r w:rsidRPr="00750C6E">
        <w:t xml:space="preserve">□ PT/INR     □ HCV RNA                </w:t>
      </w:r>
    </w:p>
    <w:p w14:paraId="511F513A" w14:textId="77777777" w:rsidR="008B02A4" w:rsidRPr="00750C6E" w:rsidRDefault="008B02A4" w:rsidP="008B02A4">
      <w:pPr>
        <w:spacing w:line="240" w:lineRule="auto"/>
        <w:ind w:firstLine="720"/>
      </w:pPr>
      <w:r w:rsidRPr="00750C6E">
        <w:rPr>
          <w:b/>
        </w:rPr>
        <w:t>Within 3 months:</w:t>
      </w:r>
      <w:r w:rsidRPr="00750C6E">
        <w:t xml:space="preserve">         </w:t>
      </w:r>
      <w:r>
        <w:tab/>
      </w:r>
      <w:r>
        <w:tab/>
      </w:r>
      <w:r w:rsidRPr="00750C6E">
        <w:t xml:space="preserve">□ Genotype confirmation      </w:t>
      </w:r>
    </w:p>
    <w:p w14:paraId="647510B8" w14:textId="5BDB9987" w:rsidR="008B02A4" w:rsidRPr="00750C6E" w:rsidRDefault="008B02A4" w:rsidP="008B02A4">
      <w:pPr>
        <w:spacing w:line="240" w:lineRule="auto"/>
        <w:ind w:left="720"/>
      </w:pPr>
      <w:r w:rsidRPr="00750C6E">
        <w:rPr>
          <w:b/>
        </w:rPr>
        <w:t>Within 6 months:</w:t>
      </w:r>
      <w:r w:rsidRPr="00750C6E">
        <w:t xml:space="preserve">  </w:t>
      </w:r>
      <w:r>
        <w:tab/>
      </w:r>
      <w:r>
        <w:tab/>
      </w:r>
      <w:r w:rsidRPr="00750C6E">
        <w:t xml:space="preserve">□ AFP    □ TSH    □ A1C or Fasting Glucose    </w:t>
      </w:r>
    </w:p>
    <w:p w14:paraId="7A0F503C" w14:textId="77777777" w:rsidR="008B02A4" w:rsidRPr="00750C6E" w:rsidRDefault="008B02A4" w:rsidP="008B02A4">
      <w:pPr>
        <w:spacing w:line="240" w:lineRule="auto"/>
        <w:ind w:left="2880" w:firstLine="720"/>
      </w:pPr>
      <w:r w:rsidRPr="00750C6E">
        <w:t xml:space="preserve">□ Vitamin D 25OH  </w:t>
      </w:r>
    </w:p>
    <w:p w14:paraId="3886157E" w14:textId="77777777" w:rsidR="008B02A4" w:rsidRPr="00750C6E" w:rsidRDefault="008B02A4" w:rsidP="008B02A4">
      <w:pPr>
        <w:spacing w:line="240" w:lineRule="auto"/>
        <w:ind w:firstLine="720"/>
      </w:pPr>
      <w:r w:rsidRPr="00750C6E">
        <w:rPr>
          <w:b/>
        </w:rPr>
        <w:t>Within 1 year:</w:t>
      </w:r>
      <w:r w:rsidRPr="00750C6E">
        <w:t xml:space="preserve">   </w:t>
      </w:r>
      <w:r>
        <w:tab/>
      </w:r>
      <w:r>
        <w:tab/>
      </w:r>
      <w:r>
        <w:tab/>
      </w:r>
      <w:r w:rsidRPr="00750C6E">
        <w:t>□ HIV screening</w:t>
      </w:r>
    </w:p>
    <w:p w14:paraId="34EFC7D0" w14:textId="0DCB5E5E" w:rsidR="008B02A4" w:rsidRPr="00750C6E" w:rsidRDefault="008B02A4" w:rsidP="008B02A4">
      <w:pPr>
        <w:spacing w:line="240" w:lineRule="auto"/>
      </w:pPr>
      <w:r w:rsidRPr="00750C6E">
        <w:rPr>
          <w:b/>
        </w:rPr>
        <w:t>• Screen &amp; Review:</w:t>
      </w:r>
      <w:r w:rsidRPr="00750C6E">
        <w:t xml:space="preserve">    </w:t>
      </w:r>
      <w:r>
        <w:tab/>
      </w:r>
      <w:r>
        <w:tab/>
      </w:r>
      <w:r>
        <w:tab/>
        <w:t>AUDIT-C __PHQ-9 ___</w:t>
      </w:r>
      <w:r w:rsidRPr="00750C6E">
        <w:t>Drug &amp; Alcohol Screen (at</w:t>
      </w:r>
      <w:r>
        <w:t xml:space="preserve"> discretion of provider) </w:t>
      </w:r>
    </w:p>
    <w:p w14:paraId="6DD13FC4" w14:textId="77777777" w:rsidR="008B02A4" w:rsidRPr="00750C6E" w:rsidRDefault="008B02A4" w:rsidP="008B02A4">
      <w:pPr>
        <w:spacing w:line="240" w:lineRule="auto"/>
      </w:pPr>
      <w:r w:rsidRPr="00750C6E">
        <w:rPr>
          <w:b/>
        </w:rPr>
        <w:t>• Vaccine Status/Screening:</w:t>
      </w:r>
      <w:r w:rsidRPr="00750C6E">
        <w:t xml:space="preserve">      Hepatitis A &amp; B vaccinations are recommended for all persons with HCV   </w:t>
      </w:r>
    </w:p>
    <w:p w14:paraId="0F882DCE" w14:textId="77777777" w:rsidR="008B02A4" w:rsidRPr="00750C6E" w:rsidRDefault="008B02A4" w:rsidP="008B02A4">
      <w:pPr>
        <w:spacing w:line="240" w:lineRule="auto"/>
        <w:ind w:firstLine="720"/>
      </w:pPr>
      <w:r w:rsidRPr="00750C6E">
        <w:t xml:space="preserve">□ Hepatitis A (If vaccine status is unknown, check </w:t>
      </w:r>
      <w:proofErr w:type="spellStart"/>
      <w:r w:rsidRPr="00750C6E">
        <w:t>hep</w:t>
      </w:r>
      <w:proofErr w:type="spellEnd"/>
      <w:r w:rsidRPr="00750C6E">
        <w:t xml:space="preserve"> A total IgG)   </w:t>
      </w:r>
    </w:p>
    <w:p w14:paraId="7651E504" w14:textId="77777777" w:rsidR="008B02A4" w:rsidRPr="00750C6E" w:rsidRDefault="008B02A4" w:rsidP="008B02A4">
      <w:pPr>
        <w:spacing w:line="240" w:lineRule="auto"/>
        <w:ind w:firstLine="720"/>
      </w:pPr>
      <w:r w:rsidRPr="00750C6E">
        <w:t xml:space="preserve">□ Hepatitis B (If vaccine status is unknown, check </w:t>
      </w:r>
      <w:proofErr w:type="spellStart"/>
      <w:r w:rsidRPr="00750C6E">
        <w:t>HBsAg</w:t>
      </w:r>
      <w:proofErr w:type="spellEnd"/>
      <w:r w:rsidRPr="00750C6E">
        <w:t xml:space="preserve"> &amp; </w:t>
      </w:r>
      <w:proofErr w:type="spellStart"/>
      <w:proofErr w:type="gramStart"/>
      <w:r w:rsidRPr="00750C6E">
        <w:t>HBsAb</w:t>
      </w:r>
      <w:proofErr w:type="spellEnd"/>
      <w:r w:rsidRPr="00750C6E">
        <w:t>)  Other</w:t>
      </w:r>
      <w:proofErr w:type="gramEnd"/>
      <w:r w:rsidRPr="00750C6E">
        <w:t xml:space="preserve"> vaccines as appropriate:   </w:t>
      </w:r>
    </w:p>
    <w:p w14:paraId="3ECBB899" w14:textId="77777777" w:rsidR="008B02A4" w:rsidRPr="00750C6E" w:rsidRDefault="008B02A4" w:rsidP="008B02A4">
      <w:pPr>
        <w:spacing w:line="240" w:lineRule="auto"/>
        <w:ind w:firstLine="720"/>
      </w:pPr>
      <w:r w:rsidRPr="00750C6E">
        <w:t xml:space="preserve">□ Flu (annually)  </w:t>
      </w:r>
      <w:r>
        <w:tab/>
      </w:r>
      <w:r>
        <w:tab/>
      </w:r>
      <w:r>
        <w:tab/>
      </w:r>
      <w:r w:rsidRPr="00750C6E">
        <w:t xml:space="preserve">□ Pneumococcal-13 (≥ age 65 or high risk/immunosuppressed)  </w:t>
      </w:r>
    </w:p>
    <w:p w14:paraId="2875A006" w14:textId="77777777" w:rsidR="008B02A4" w:rsidRPr="00750C6E" w:rsidRDefault="008B02A4" w:rsidP="008B02A4">
      <w:pPr>
        <w:spacing w:line="240" w:lineRule="auto"/>
        <w:ind w:firstLine="720"/>
      </w:pPr>
      <w:r w:rsidRPr="00750C6E">
        <w:t xml:space="preserve">□ Pneumococcal-23 (≥ age 50 AN/AI living in Alaska or high risk)  </w:t>
      </w:r>
    </w:p>
    <w:p w14:paraId="4388C2DF" w14:textId="77777777" w:rsidR="008B02A4" w:rsidRPr="00750C6E" w:rsidRDefault="008B02A4" w:rsidP="008B02A4">
      <w:pPr>
        <w:spacing w:line="240" w:lineRule="auto"/>
        <w:ind w:firstLine="720"/>
      </w:pPr>
      <w:r w:rsidRPr="00750C6E">
        <w:t xml:space="preserve">□ Td (once every 10 years) OR </w:t>
      </w:r>
      <w:proofErr w:type="spellStart"/>
      <w:r w:rsidRPr="00750C6E">
        <w:t>Tdap</w:t>
      </w:r>
      <w:proofErr w:type="spellEnd"/>
      <w:r w:rsidRPr="00750C6E">
        <w:t xml:space="preserve"> (once)  </w:t>
      </w:r>
      <w:r>
        <w:tab/>
      </w:r>
      <w:r w:rsidRPr="00750C6E">
        <w:t xml:space="preserve">□ Zoster (≥ age 60) Pre-Treatment Clinical Evaluation:  </w:t>
      </w:r>
    </w:p>
    <w:p w14:paraId="70A8C3CB" w14:textId="77777777" w:rsidR="008B02A4" w:rsidRPr="00750C6E" w:rsidRDefault="008B02A4" w:rsidP="008B02A4">
      <w:pPr>
        <w:spacing w:line="240" w:lineRule="auto"/>
        <w:ind w:firstLine="720"/>
      </w:pPr>
      <w:r w:rsidRPr="00750C6E">
        <w:t xml:space="preserve">□ Medical history including liver disease history and past hepatitis C treatment   </w:t>
      </w:r>
    </w:p>
    <w:p w14:paraId="156C3A56" w14:textId="77777777" w:rsidR="008B02A4" w:rsidRPr="00750C6E" w:rsidRDefault="008B02A4" w:rsidP="008B02A4">
      <w:pPr>
        <w:spacing w:line="240" w:lineRule="auto"/>
        <w:ind w:firstLine="720"/>
      </w:pPr>
      <w:r w:rsidRPr="00750C6E">
        <w:t xml:space="preserve">□ Hypertension/Diabetes controlled    □ Counsel about smoking cessation   </w:t>
      </w:r>
    </w:p>
    <w:p w14:paraId="7406A4D2" w14:textId="77777777" w:rsidR="008B02A4" w:rsidRPr="00750C6E" w:rsidRDefault="008B02A4" w:rsidP="008B02A4">
      <w:pPr>
        <w:spacing w:line="240" w:lineRule="auto"/>
        <w:ind w:firstLine="720"/>
      </w:pPr>
      <w:r w:rsidRPr="00750C6E">
        <w:t xml:space="preserve">□ Counsel about pregnancy prevention (see Treatment Agreement)  </w:t>
      </w:r>
    </w:p>
    <w:p w14:paraId="3DEDF33E" w14:textId="77777777" w:rsidR="008B02A4" w:rsidRPr="00750C6E" w:rsidRDefault="008B02A4" w:rsidP="008B02A4">
      <w:pPr>
        <w:spacing w:line="240" w:lineRule="auto"/>
        <w:ind w:firstLine="720"/>
      </w:pPr>
      <w:r w:rsidRPr="00750C6E">
        <w:t xml:space="preserve">□ Review all medications; check for drug interactions with treatment meds  </w:t>
      </w:r>
    </w:p>
    <w:p w14:paraId="6C995B2D" w14:textId="77777777" w:rsidR="008B02A4" w:rsidRPr="00750C6E" w:rsidRDefault="008B02A4" w:rsidP="008B02A4">
      <w:pPr>
        <w:spacing w:line="240" w:lineRule="auto"/>
        <w:ind w:firstLine="720"/>
      </w:pPr>
      <w:r w:rsidRPr="00750C6E">
        <w:t xml:space="preserve">□ Physical Exam    □ Hepatitis C Treatment Agreement reviewed and signed </w:t>
      </w:r>
    </w:p>
    <w:p w14:paraId="524BBC64" w14:textId="77777777" w:rsidR="008B02A4" w:rsidRPr="00750C6E" w:rsidRDefault="008B02A4" w:rsidP="008B02A4">
      <w:pPr>
        <w:spacing w:line="240" w:lineRule="auto"/>
        <w:ind w:firstLine="720"/>
      </w:pPr>
      <w:r w:rsidRPr="00750C6E">
        <w:t xml:space="preserve">□ ECG (If treatment includes ribavirin or </w:t>
      </w:r>
      <w:proofErr w:type="spellStart"/>
      <w:r w:rsidRPr="00750C6E">
        <w:t>peginterferon</w:t>
      </w:r>
      <w:proofErr w:type="spellEnd"/>
      <w:r w:rsidRPr="00750C6E">
        <w:t xml:space="preserve">, over age 65 or h/o cardiac disease)  </w:t>
      </w:r>
    </w:p>
    <w:p w14:paraId="3E8729A9" w14:textId="77777777" w:rsidR="008B02A4" w:rsidRPr="00750C6E" w:rsidRDefault="008B02A4" w:rsidP="008B02A4">
      <w:pPr>
        <w:spacing w:line="240" w:lineRule="auto"/>
      </w:pPr>
      <w:r w:rsidRPr="00750C6E">
        <w:t xml:space="preserve">If treatment includes </w:t>
      </w:r>
      <w:proofErr w:type="spellStart"/>
      <w:r w:rsidRPr="00750C6E">
        <w:t>peginterferon</w:t>
      </w:r>
      <w:proofErr w:type="spellEnd"/>
      <w:r w:rsidRPr="00750C6E">
        <w:t xml:space="preserve"> complete the following:  </w:t>
      </w:r>
    </w:p>
    <w:p w14:paraId="6256105C" w14:textId="77777777" w:rsidR="008B02A4" w:rsidRPr="00750C6E" w:rsidRDefault="008B02A4" w:rsidP="008B02A4">
      <w:pPr>
        <w:spacing w:line="240" w:lineRule="auto"/>
        <w:ind w:firstLine="720"/>
      </w:pPr>
      <w:r w:rsidRPr="00750C6E">
        <w:t xml:space="preserve">□ Mental Health Evaluation if h/o depression or other psychiatric condition   </w:t>
      </w:r>
    </w:p>
    <w:p w14:paraId="1ABE7CB4" w14:textId="77777777" w:rsidR="008B02A4" w:rsidRPr="00750C6E" w:rsidRDefault="008B02A4" w:rsidP="008B02A4">
      <w:pPr>
        <w:spacing w:line="240" w:lineRule="auto"/>
        <w:ind w:firstLine="720"/>
      </w:pPr>
      <w:r w:rsidRPr="00750C6E">
        <w:t xml:space="preserve">□ Stress Test (h/o cardiac disease, prior to </w:t>
      </w:r>
      <w:proofErr w:type="spellStart"/>
      <w:r w:rsidRPr="00750C6E">
        <w:t>peginterferon</w:t>
      </w:r>
      <w:proofErr w:type="spellEnd"/>
      <w:r w:rsidRPr="00750C6E">
        <w:t xml:space="preserve"> or ribavirin)  </w:t>
      </w:r>
    </w:p>
    <w:p w14:paraId="18C2D2B8" w14:textId="77777777" w:rsidR="008B02A4" w:rsidRPr="00750C6E" w:rsidRDefault="008B02A4" w:rsidP="008B02A4">
      <w:pPr>
        <w:spacing w:line="240" w:lineRule="auto"/>
        <w:ind w:firstLine="720"/>
      </w:pPr>
      <w:r w:rsidRPr="00750C6E">
        <w:t>□ Dilated retinal/ophthalmology exam (</w:t>
      </w:r>
      <w:proofErr w:type="spellStart"/>
      <w:r w:rsidRPr="00750C6E">
        <w:t>peginterferon</w:t>
      </w:r>
      <w:proofErr w:type="spellEnd"/>
      <w:r w:rsidRPr="00750C6E">
        <w:t xml:space="preserve"> candidates only who have   HTN, HLD,</w:t>
      </w:r>
    </w:p>
    <w:p w14:paraId="051AA1B5" w14:textId="77777777" w:rsidR="008B02A4" w:rsidRPr="00750C6E" w:rsidRDefault="008B02A4" w:rsidP="008B02A4">
      <w:pPr>
        <w:spacing w:line="240" w:lineRule="auto"/>
        <w:ind w:firstLine="720"/>
      </w:pPr>
      <w:r w:rsidRPr="00750C6E">
        <w:t>DM, or h/o retinal disease or blindness)</w:t>
      </w:r>
    </w:p>
    <w:p w14:paraId="261D83C1" w14:textId="5AD10AD1" w:rsidR="003C5EDF" w:rsidRDefault="003C5EDF" w:rsidP="003C5EDF">
      <w:pPr>
        <w:rPr>
          <w:rFonts w:asciiTheme="minorHAnsi" w:hAnsiTheme="minorHAnsi"/>
          <w:caps/>
          <w:spacing w:val="15"/>
          <w:sz w:val="24"/>
          <w:szCs w:val="24"/>
          <w:lang w:bidi="ar-SA"/>
        </w:rPr>
      </w:pPr>
    </w:p>
    <w:p w14:paraId="5CEFC171" w14:textId="683DCE3A" w:rsidR="005E09B2" w:rsidRPr="001E5554" w:rsidRDefault="005E09B2" w:rsidP="005E09B2">
      <w:pPr>
        <w:pStyle w:val="Heading2"/>
        <w:rPr>
          <w:rFonts w:asciiTheme="minorHAnsi" w:hAnsiTheme="minorHAnsi"/>
          <w:sz w:val="24"/>
          <w:szCs w:val="24"/>
        </w:rPr>
      </w:pPr>
      <w:r w:rsidRPr="001E5554">
        <w:rPr>
          <w:rFonts w:asciiTheme="minorHAnsi" w:hAnsiTheme="minorHAnsi"/>
          <w:sz w:val="24"/>
          <w:szCs w:val="24"/>
        </w:rPr>
        <w:t>References</w:t>
      </w:r>
    </w:p>
    <w:p w14:paraId="74DCE2F7" w14:textId="77777777" w:rsidR="005E09B2" w:rsidRPr="001E5554" w:rsidRDefault="005E09B2" w:rsidP="005E09B2">
      <w:pPr>
        <w:pStyle w:val="EndNoteBibliography"/>
        <w:ind w:left="720" w:hanging="720"/>
        <w:jc w:val="left"/>
        <w:rPr>
          <w:rFonts w:asciiTheme="minorHAnsi" w:hAnsiTheme="minorHAnsi"/>
          <w:sz w:val="24"/>
          <w:szCs w:val="24"/>
        </w:rPr>
      </w:pPr>
      <w:r w:rsidRPr="001E5554">
        <w:rPr>
          <w:rFonts w:asciiTheme="minorHAnsi" w:hAnsiTheme="minorHAnsi"/>
          <w:sz w:val="24"/>
          <w:szCs w:val="24"/>
        </w:rPr>
        <w:fldChar w:fldCharType="begin"/>
      </w:r>
      <w:r w:rsidRPr="001E5554">
        <w:rPr>
          <w:rFonts w:asciiTheme="minorHAnsi" w:hAnsiTheme="minorHAnsi"/>
          <w:sz w:val="24"/>
          <w:szCs w:val="24"/>
        </w:rPr>
        <w:instrText xml:space="preserve"> ADDIN EN.REFLIST </w:instrText>
      </w:r>
      <w:r w:rsidRPr="001E5554">
        <w:rPr>
          <w:rFonts w:asciiTheme="minorHAnsi" w:hAnsiTheme="minorHAnsi"/>
          <w:sz w:val="24"/>
          <w:szCs w:val="24"/>
        </w:rPr>
        <w:fldChar w:fldCharType="separate"/>
      </w:r>
      <w:r w:rsidRPr="001E5554">
        <w:rPr>
          <w:rFonts w:asciiTheme="minorHAnsi" w:hAnsiTheme="minorHAnsi"/>
          <w:sz w:val="24"/>
          <w:szCs w:val="24"/>
        </w:rPr>
        <w:t>1.</w:t>
      </w:r>
      <w:r w:rsidRPr="001E5554">
        <w:rPr>
          <w:rFonts w:asciiTheme="minorHAnsi" w:hAnsiTheme="minorHAnsi"/>
          <w:sz w:val="24"/>
          <w:szCs w:val="24"/>
        </w:rPr>
        <w:tab/>
        <w:t xml:space="preserve">Denniston, M.M., et al., </w:t>
      </w:r>
      <w:r w:rsidRPr="001E5554">
        <w:rPr>
          <w:rFonts w:asciiTheme="minorHAnsi" w:hAnsiTheme="minorHAnsi"/>
          <w:i/>
          <w:sz w:val="24"/>
          <w:szCs w:val="24"/>
        </w:rPr>
        <w:t>Chronic hepatitis C virus infection in the United States, National Health and Nutrition Examination Survey 2003 to 2010.</w:t>
      </w:r>
      <w:r w:rsidRPr="001E5554">
        <w:rPr>
          <w:rFonts w:asciiTheme="minorHAnsi" w:hAnsiTheme="minorHAnsi"/>
          <w:sz w:val="24"/>
          <w:szCs w:val="24"/>
        </w:rPr>
        <w:t xml:space="preserve"> Ann Intern Med, 2014. </w:t>
      </w:r>
      <w:r w:rsidRPr="001E5554">
        <w:rPr>
          <w:rFonts w:asciiTheme="minorHAnsi" w:hAnsiTheme="minorHAnsi"/>
          <w:b/>
          <w:sz w:val="24"/>
          <w:szCs w:val="24"/>
        </w:rPr>
        <w:t>160</w:t>
      </w:r>
      <w:r w:rsidRPr="001E5554">
        <w:rPr>
          <w:rFonts w:asciiTheme="minorHAnsi" w:hAnsiTheme="minorHAnsi"/>
          <w:sz w:val="24"/>
          <w:szCs w:val="24"/>
        </w:rPr>
        <w:t>(5): p. 293-300.</w:t>
      </w:r>
    </w:p>
    <w:p w14:paraId="58FC128B" w14:textId="77777777" w:rsidR="005E09B2" w:rsidRPr="001E5554" w:rsidRDefault="005E09B2" w:rsidP="005E09B2">
      <w:pPr>
        <w:pStyle w:val="EndNoteBibliography"/>
        <w:ind w:left="720" w:hanging="720"/>
        <w:jc w:val="left"/>
        <w:rPr>
          <w:rFonts w:asciiTheme="minorHAnsi" w:hAnsiTheme="minorHAnsi"/>
          <w:sz w:val="24"/>
          <w:szCs w:val="24"/>
        </w:rPr>
      </w:pPr>
      <w:r w:rsidRPr="001E5554">
        <w:rPr>
          <w:rFonts w:asciiTheme="minorHAnsi" w:hAnsiTheme="minorHAnsi"/>
          <w:sz w:val="24"/>
          <w:szCs w:val="24"/>
        </w:rPr>
        <w:t>2.</w:t>
      </w:r>
      <w:r w:rsidRPr="001E5554">
        <w:rPr>
          <w:rFonts w:asciiTheme="minorHAnsi" w:hAnsiTheme="minorHAnsi"/>
          <w:sz w:val="24"/>
          <w:szCs w:val="24"/>
        </w:rPr>
        <w:tab/>
        <w:t xml:space="preserve">Prevention, C.f.D.C.a. </w:t>
      </w:r>
      <w:r w:rsidRPr="001E5554">
        <w:rPr>
          <w:rFonts w:asciiTheme="minorHAnsi" w:hAnsiTheme="minorHAnsi"/>
          <w:i/>
          <w:sz w:val="24"/>
          <w:szCs w:val="24"/>
        </w:rPr>
        <w:t>Surveillance for Viral Hepatitis – United States, 2012</w:t>
      </w:r>
      <w:r w:rsidRPr="001E5554">
        <w:rPr>
          <w:rFonts w:asciiTheme="minorHAnsi" w:hAnsiTheme="minorHAnsi"/>
          <w:sz w:val="24"/>
          <w:szCs w:val="24"/>
        </w:rPr>
        <w:t xml:space="preserve">. 2014 9/2/14 [cited 2014 10/27]; Available from: </w:t>
      </w:r>
      <w:hyperlink r:id="rId21" w:anchor="hepC" w:history="1">
        <w:r w:rsidRPr="001E5554">
          <w:rPr>
            <w:rStyle w:val="Hyperlink"/>
            <w:rFonts w:asciiTheme="minorHAnsi" w:hAnsiTheme="minorHAnsi"/>
            <w:sz w:val="24"/>
            <w:szCs w:val="24"/>
          </w:rPr>
          <w:t>http://www.cdc.gov/hepatitis/Statistics/2012Surveillance/Commentary.htm#hepC</w:t>
        </w:r>
      </w:hyperlink>
      <w:r w:rsidRPr="001E5554">
        <w:rPr>
          <w:rFonts w:asciiTheme="minorHAnsi" w:hAnsiTheme="minorHAnsi"/>
          <w:sz w:val="24"/>
          <w:szCs w:val="24"/>
        </w:rPr>
        <w:t>.</w:t>
      </w:r>
    </w:p>
    <w:p w14:paraId="59603F3A" w14:textId="77777777" w:rsidR="005E09B2" w:rsidRPr="001E5554" w:rsidRDefault="005E09B2" w:rsidP="005E09B2">
      <w:pPr>
        <w:pStyle w:val="EndNoteBibliography"/>
        <w:ind w:left="720" w:hanging="720"/>
        <w:jc w:val="left"/>
        <w:rPr>
          <w:rFonts w:asciiTheme="minorHAnsi" w:hAnsiTheme="minorHAnsi"/>
          <w:sz w:val="24"/>
          <w:szCs w:val="24"/>
        </w:rPr>
      </w:pPr>
      <w:r w:rsidRPr="001E5554">
        <w:rPr>
          <w:rFonts w:asciiTheme="minorHAnsi" w:hAnsiTheme="minorHAnsi"/>
          <w:sz w:val="24"/>
          <w:szCs w:val="24"/>
        </w:rPr>
        <w:t>3.</w:t>
      </w:r>
      <w:r w:rsidRPr="001E5554">
        <w:rPr>
          <w:rFonts w:asciiTheme="minorHAnsi" w:hAnsiTheme="minorHAnsi"/>
          <w:sz w:val="24"/>
          <w:szCs w:val="24"/>
        </w:rPr>
        <w:tab/>
        <w:t xml:space="preserve">Suryaprasad, A., et al., </w:t>
      </w:r>
      <w:r w:rsidRPr="001E5554">
        <w:rPr>
          <w:rFonts w:asciiTheme="minorHAnsi" w:hAnsiTheme="minorHAnsi"/>
          <w:i/>
          <w:sz w:val="24"/>
          <w:szCs w:val="24"/>
        </w:rPr>
        <w:t>Mortality caused by chronic liver disease among American Indians and Alaska Natives in the United States, 1999-2009.</w:t>
      </w:r>
      <w:r w:rsidRPr="001E5554">
        <w:rPr>
          <w:rFonts w:asciiTheme="minorHAnsi" w:hAnsiTheme="minorHAnsi"/>
          <w:sz w:val="24"/>
          <w:szCs w:val="24"/>
        </w:rPr>
        <w:t xml:space="preserve"> Am J Public Health, 2014. </w:t>
      </w:r>
      <w:r w:rsidRPr="001E5554">
        <w:rPr>
          <w:rFonts w:asciiTheme="minorHAnsi" w:hAnsiTheme="minorHAnsi"/>
          <w:b/>
          <w:sz w:val="24"/>
          <w:szCs w:val="24"/>
        </w:rPr>
        <w:t>104 Suppl 3</w:t>
      </w:r>
      <w:r w:rsidRPr="001E5554">
        <w:rPr>
          <w:rFonts w:asciiTheme="minorHAnsi" w:hAnsiTheme="minorHAnsi"/>
          <w:sz w:val="24"/>
          <w:szCs w:val="24"/>
        </w:rPr>
        <w:t>: p. S350-8.</w:t>
      </w:r>
    </w:p>
    <w:p w14:paraId="5C668104" w14:textId="77777777" w:rsidR="005E09B2" w:rsidRPr="001E5554" w:rsidRDefault="005E09B2" w:rsidP="005E09B2">
      <w:pPr>
        <w:pStyle w:val="EndNoteBibliography"/>
        <w:ind w:left="720" w:hanging="720"/>
        <w:jc w:val="left"/>
        <w:rPr>
          <w:rFonts w:asciiTheme="minorHAnsi" w:hAnsiTheme="minorHAnsi"/>
          <w:sz w:val="24"/>
          <w:szCs w:val="24"/>
        </w:rPr>
      </w:pPr>
      <w:r w:rsidRPr="001E5554">
        <w:rPr>
          <w:rFonts w:asciiTheme="minorHAnsi" w:hAnsiTheme="minorHAnsi"/>
          <w:sz w:val="24"/>
          <w:szCs w:val="24"/>
        </w:rPr>
        <w:t>4.</w:t>
      </w:r>
      <w:r w:rsidRPr="001E5554">
        <w:rPr>
          <w:rFonts w:asciiTheme="minorHAnsi" w:hAnsiTheme="minorHAnsi"/>
          <w:sz w:val="24"/>
          <w:szCs w:val="24"/>
        </w:rPr>
        <w:tab/>
        <w:t xml:space="preserve">Younossi, Z.M., et al., </w:t>
      </w:r>
      <w:r w:rsidRPr="001E5554">
        <w:rPr>
          <w:rFonts w:asciiTheme="minorHAnsi" w:hAnsiTheme="minorHAnsi"/>
          <w:i/>
          <w:sz w:val="24"/>
          <w:szCs w:val="24"/>
        </w:rPr>
        <w:t>Knowledge about infection is the only predictor of treatment in patients with chronic hepatitis C.</w:t>
      </w:r>
      <w:r w:rsidRPr="001E5554">
        <w:rPr>
          <w:rFonts w:asciiTheme="minorHAnsi" w:hAnsiTheme="minorHAnsi"/>
          <w:sz w:val="24"/>
          <w:szCs w:val="24"/>
        </w:rPr>
        <w:t xml:space="preserve"> J Viral Hepat, 2013. </w:t>
      </w:r>
      <w:r w:rsidRPr="001E5554">
        <w:rPr>
          <w:rFonts w:asciiTheme="minorHAnsi" w:hAnsiTheme="minorHAnsi"/>
          <w:b/>
          <w:sz w:val="24"/>
          <w:szCs w:val="24"/>
        </w:rPr>
        <w:t>20</w:t>
      </w:r>
      <w:r w:rsidRPr="001E5554">
        <w:rPr>
          <w:rFonts w:asciiTheme="minorHAnsi" w:hAnsiTheme="minorHAnsi"/>
          <w:sz w:val="24"/>
          <w:szCs w:val="24"/>
        </w:rPr>
        <w:t>(8): p. 550-5.</w:t>
      </w:r>
    </w:p>
    <w:p w14:paraId="63705456" w14:textId="77777777" w:rsidR="005E09B2" w:rsidRPr="001E5554" w:rsidRDefault="005E09B2" w:rsidP="005E09B2">
      <w:pPr>
        <w:pStyle w:val="EndNoteBibliography"/>
        <w:ind w:left="720" w:hanging="720"/>
        <w:jc w:val="left"/>
        <w:rPr>
          <w:rFonts w:asciiTheme="minorHAnsi" w:hAnsiTheme="minorHAnsi"/>
          <w:sz w:val="24"/>
          <w:szCs w:val="24"/>
        </w:rPr>
      </w:pPr>
      <w:r w:rsidRPr="001E5554">
        <w:rPr>
          <w:rFonts w:asciiTheme="minorHAnsi" w:hAnsiTheme="minorHAnsi"/>
          <w:sz w:val="24"/>
          <w:szCs w:val="24"/>
        </w:rPr>
        <w:t>5.</w:t>
      </w:r>
      <w:r w:rsidRPr="001E5554">
        <w:rPr>
          <w:rFonts w:asciiTheme="minorHAnsi" w:hAnsiTheme="minorHAnsi"/>
          <w:sz w:val="24"/>
          <w:szCs w:val="24"/>
        </w:rPr>
        <w:tab/>
        <w:t xml:space="preserve">Smith, B.D., et al., </w:t>
      </w:r>
      <w:r w:rsidRPr="001E5554">
        <w:rPr>
          <w:rFonts w:asciiTheme="minorHAnsi" w:hAnsiTheme="minorHAnsi"/>
          <w:i/>
          <w:sz w:val="24"/>
          <w:szCs w:val="24"/>
        </w:rPr>
        <w:t>Recommendations for the identification of chronic hepatitis C virus infection among persons born during 1945-1965.</w:t>
      </w:r>
      <w:r w:rsidRPr="001E5554">
        <w:rPr>
          <w:rFonts w:asciiTheme="minorHAnsi" w:hAnsiTheme="minorHAnsi"/>
          <w:sz w:val="24"/>
          <w:szCs w:val="24"/>
        </w:rPr>
        <w:t xml:space="preserve"> MMWR Recomm Rep, 2012. </w:t>
      </w:r>
      <w:r w:rsidRPr="001E5554">
        <w:rPr>
          <w:rFonts w:asciiTheme="minorHAnsi" w:hAnsiTheme="minorHAnsi"/>
          <w:b/>
          <w:sz w:val="24"/>
          <w:szCs w:val="24"/>
        </w:rPr>
        <w:t>61</w:t>
      </w:r>
      <w:r w:rsidRPr="001E5554">
        <w:rPr>
          <w:rFonts w:asciiTheme="minorHAnsi" w:hAnsiTheme="minorHAnsi"/>
          <w:sz w:val="24"/>
          <w:szCs w:val="24"/>
        </w:rPr>
        <w:t>(RR-4): p. 1-32.</w:t>
      </w:r>
    </w:p>
    <w:p w14:paraId="676057EF" w14:textId="71C5716B" w:rsidR="005E09B2" w:rsidRDefault="005E09B2" w:rsidP="005E09B2">
      <w:pPr>
        <w:pStyle w:val="EndNoteBibliography"/>
        <w:ind w:left="720" w:hanging="720"/>
        <w:jc w:val="left"/>
        <w:rPr>
          <w:rFonts w:asciiTheme="minorHAnsi" w:hAnsiTheme="minorHAnsi"/>
          <w:sz w:val="24"/>
          <w:szCs w:val="24"/>
        </w:rPr>
      </w:pPr>
      <w:r w:rsidRPr="001E5554">
        <w:rPr>
          <w:rFonts w:asciiTheme="minorHAnsi" w:hAnsiTheme="minorHAnsi"/>
          <w:sz w:val="24"/>
          <w:szCs w:val="24"/>
        </w:rPr>
        <w:t>6.</w:t>
      </w:r>
      <w:r w:rsidRPr="001E5554">
        <w:rPr>
          <w:rFonts w:asciiTheme="minorHAnsi" w:hAnsiTheme="minorHAnsi"/>
          <w:sz w:val="24"/>
          <w:szCs w:val="24"/>
        </w:rPr>
        <w:tab/>
      </w:r>
      <w:r w:rsidRPr="001E5554">
        <w:rPr>
          <w:rFonts w:asciiTheme="minorHAnsi" w:hAnsiTheme="minorHAnsi"/>
          <w:i/>
          <w:sz w:val="24"/>
          <w:szCs w:val="24"/>
        </w:rPr>
        <w:t>Testing Recommendations for Hepatitis C Virus Infection</w:t>
      </w:r>
      <w:r w:rsidRPr="001E5554">
        <w:rPr>
          <w:rFonts w:asciiTheme="minorHAnsi" w:hAnsiTheme="minorHAnsi"/>
          <w:sz w:val="24"/>
          <w:szCs w:val="24"/>
        </w:rPr>
        <w:t xml:space="preserve">. June 25, 2014 [cited 2014 November 14]; Available from: </w:t>
      </w:r>
      <w:hyperlink r:id="rId22" w:history="1">
        <w:r w:rsidRPr="001E5554">
          <w:rPr>
            <w:rStyle w:val="Hyperlink"/>
            <w:rFonts w:asciiTheme="minorHAnsi" w:hAnsiTheme="minorHAnsi"/>
            <w:sz w:val="24"/>
            <w:szCs w:val="24"/>
          </w:rPr>
          <w:t>http://www.cdc.gov/hepatitis/HCV/GuidelinesC.htm</w:t>
        </w:r>
      </w:hyperlink>
      <w:r w:rsidRPr="001E5554">
        <w:rPr>
          <w:rFonts w:asciiTheme="minorHAnsi" w:hAnsiTheme="minorHAnsi"/>
          <w:sz w:val="24"/>
          <w:szCs w:val="24"/>
        </w:rPr>
        <w:t>.</w:t>
      </w:r>
    </w:p>
    <w:p w14:paraId="3E9D1C38" w14:textId="1653523F" w:rsidR="00515462" w:rsidRPr="001E5554" w:rsidRDefault="00515462" w:rsidP="005E09B2">
      <w:pPr>
        <w:pStyle w:val="EndNoteBibliography"/>
        <w:ind w:left="720" w:hanging="720"/>
        <w:jc w:val="left"/>
        <w:rPr>
          <w:rFonts w:asciiTheme="minorHAnsi" w:hAnsiTheme="minorHAnsi"/>
          <w:sz w:val="24"/>
          <w:szCs w:val="24"/>
        </w:rPr>
      </w:pPr>
      <w:r>
        <w:rPr>
          <w:rFonts w:asciiTheme="minorHAnsi" w:hAnsiTheme="minorHAnsi"/>
          <w:sz w:val="24"/>
          <w:szCs w:val="24"/>
        </w:rPr>
        <w:t xml:space="preserve">7.         American Association for the Study of Liver Diseases, </w:t>
      </w:r>
      <w:hyperlink r:id="rId23" w:history="1">
        <w:r w:rsidRPr="007C5D10">
          <w:rPr>
            <w:rStyle w:val="Hyperlink"/>
            <w:sz w:val="24"/>
            <w:szCs w:val="24"/>
          </w:rPr>
          <w:t>http://www.hcvguidelines.org/full-report/testing-and-linkage-care-table-1-fda-approved-commercially-available-anti-hcv-screening</w:t>
        </w:r>
      </w:hyperlink>
      <w:r w:rsidRPr="00515462">
        <w:rPr>
          <w:sz w:val="24"/>
          <w:szCs w:val="24"/>
        </w:rPr>
        <w:t xml:space="preserve"> (accessed Aug 25, 2016).</w:t>
      </w:r>
    </w:p>
    <w:p w14:paraId="761A4CDA" w14:textId="79517AA3" w:rsidR="005E09B2" w:rsidRPr="001E5554" w:rsidRDefault="00515462" w:rsidP="005E09B2">
      <w:pPr>
        <w:pStyle w:val="EndNoteBibliography"/>
        <w:ind w:left="720" w:hanging="720"/>
        <w:jc w:val="left"/>
        <w:rPr>
          <w:rFonts w:asciiTheme="minorHAnsi" w:hAnsiTheme="minorHAnsi"/>
          <w:sz w:val="24"/>
          <w:szCs w:val="24"/>
        </w:rPr>
      </w:pPr>
      <w:r>
        <w:rPr>
          <w:rFonts w:asciiTheme="minorHAnsi" w:hAnsiTheme="minorHAnsi"/>
          <w:sz w:val="24"/>
          <w:szCs w:val="24"/>
        </w:rPr>
        <w:t>8</w:t>
      </w:r>
      <w:r w:rsidR="005E09B2" w:rsidRPr="001E5554">
        <w:rPr>
          <w:rFonts w:asciiTheme="minorHAnsi" w:hAnsiTheme="minorHAnsi"/>
          <w:sz w:val="24"/>
          <w:szCs w:val="24"/>
        </w:rPr>
        <w:t>.</w:t>
      </w:r>
      <w:r w:rsidR="005E09B2" w:rsidRPr="001E5554">
        <w:rPr>
          <w:rFonts w:asciiTheme="minorHAnsi" w:hAnsiTheme="minorHAnsi"/>
          <w:sz w:val="24"/>
          <w:szCs w:val="24"/>
        </w:rPr>
        <w:tab/>
        <w:t xml:space="preserve">Panneer, N., et al., </w:t>
      </w:r>
      <w:r w:rsidR="005E09B2" w:rsidRPr="001E5554">
        <w:rPr>
          <w:rFonts w:asciiTheme="minorHAnsi" w:hAnsiTheme="minorHAnsi"/>
          <w:i/>
          <w:sz w:val="24"/>
          <w:szCs w:val="24"/>
        </w:rPr>
        <w:t>HIV and hepatitis C virus infection in the United States: whom and how to test.</w:t>
      </w:r>
      <w:r w:rsidR="005E09B2" w:rsidRPr="001E5554">
        <w:rPr>
          <w:rFonts w:asciiTheme="minorHAnsi" w:hAnsiTheme="minorHAnsi"/>
          <w:sz w:val="24"/>
          <w:szCs w:val="24"/>
        </w:rPr>
        <w:t xml:space="preserve"> Clin Infect Dis, 2014. </w:t>
      </w:r>
      <w:r w:rsidR="005E09B2" w:rsidRPr="001E5554">
        <w:rPr>
          <w:rFonts w:asciiTheme="minorHAnsi" w:hAnsiTheme="minorHAnsi"/>
          <w:b/>
          <w:sz w:val="24"/>
          <w:szCs w:val="24"/>
        </w:rPr>
        <w:t>59</w:t>
      </w:r>
      <w:r w:rsidR="005E09B2" w:rsidRPr="001E5554">
        <w:rPr>
          <w:rFonts w:asciiTheme="minorHAnsi" w:hAnsiTheme="minorHAnsi"/>
          <w:sz w:val="24"/>
          <w:szCs w:val="24"/>
        </w:rPr>
        <w:t>(6): p. 875-82.</w:t>
      </w:r>
    </w:p>
    <w:p w14:paraId="6A035003" w14:textId="45DAAA36" w:rsidR="005E09B2" w:rsidRPr="00244F7A" w:rsidRDefault="00515462" w:rsidP="005E09B2">
      <w:pPr>
        <w:pStyle w:val="EndNoteBibliography"/>
        <w:ind w:left="720" w:hanging="720"/>
        <w:jc w:val="left"/>
        <w:rPr>
          <w:rFonts w:asciiTheme="minorHAnsi" w:hAnsiTheme="minorHAnsi"/>
          <w:sz w:val="24"/>
          <w:szCs w:val="24"/>
        </w:rPr>
      </w:pPr>
      <w:r>
        <w:rPr>
          <w:rFonts w:asciiTheme="minorHAnsi" w:hAnsiTheme="minorHAnsi"/>
          <w:sz w:val="24"/>
          <w:szCs w:val="24"/>
        </w:rPr>
        <w:t>9</w:t>
      </w:r>
      <w:r w:rsidR="005E09B2" w:rsidRPr="001E5554">
        <w:rPr>
          <w:rFonts w:asciiTheme="minorHAnsi" w:hAnsiTheme="minorHAnsi"/>
          <w:sz w:val="24"/>
          <w:szCs w:val="24"/>
        </w:rPr>
        <w:t>.</w:t>
      </w:r>
      <w:r w:rsidR="005E09B2" w:rsidRPr="001E5554">
        <w:rPr>
          <w:rFonts w:asciiTheme="minorHAnsi" w:hAnsiTheme="minorHAnsi"/>
          <w:sz w:val="24"/>
          <w:szCs w:val="24"/>
        </w:rPr>
        <w:tab/>
        <w:t xml:space="preserve">Ramers, C.D. </w:t>
      </w:r>
      <w:r w:rsidR="005E09B2" w:rsidRPr="001E5554">
        <w:rPr>
          <w:rFonts w:asciiTheme="minorHAnsi" w:hAnsiTheme="minorHAnsi"/>
          <w:i/>
          <w:sz w:val="24"/>
          <w:szCs w:val="24"/>
        </w:rPr>
        <w:t>Initial Evaluation of Persons with Chronic Hepatitis C</w:t>
      </w:r>
      <w:r w:rsidR="005E09B2" w:rsidRPr="001E5554">
        <w:rPr>
          <w:rFonts w:asciiTheme="minorHAnsi" w:hAnsiTheme="minorHAnsi"/>
          <w:sz w:val="24"/>
          <w:szCs w:val="24"/>
        </w:rPr>
        <w:t xml:space="preserve">. 2013 December 9, </w:t>
      </w:r>
      <w:r w:rsidR="005E09B2" w:rsidRPr="00244F7A">
        <w:rPr>
          <w:rFonts w:asciiTheme="minorHAnsi" w:hAnsiTheme="minorHAnsi"/>
          <w:sz w:val="24"/>
          <w:szCs w:val="24"/>
        </w:rPr>
        <w:t xml:space="preserve">2013 [cited 2014 November 19]; Available from: </w:t>
      </w:r>
      <w:hyperlink r:id="rId24" w:anchor="screening-other-causes-contributors-liver-disease" w:history="1">
        <w:r w:rsidR="005E09B2" w:rsidRPr="00244F7A">
          <w:rPr>
            <w:rStyle w:val="Hyperlink"/>
            <w:rFonts w:asciiTheme="minorHAnsi" w:hAnsiTheme="minorHAnsi"/>
            <w:sz w:val="24"/>
            <w:szCs w:val="24"/>
          </w:rPr>
          <w:t>http://www.hepatitisc.uw.edu/go/evaluation-staging-monitoring/initial-evaluation-chronic/core-concept/all#screening-other-causes-contributors-liver-disease</w:t>
        </w:r>
      </w:hyperlink>
      <w:r w:rsidR="005E09B2" w:rsidRPr="00244F7A">
        <w:rPr>
          <w:rFonts w:asciiTheme="minorHAnsi" w:hAnsiTheme="minorHAnsi"/>
          <w:sz w:val="24"/>
          <w:szCs w:val="24"/>
        </w:rPr>
        <w:t>.</w:t>
      </w:r>
    </w:p>
    <w:p w14:paraId="115A7F27" w14:textId="1BF864CE" w:rsidR="00B86309" w:rsidRPr="00244F7A" w:rsidRDefault="00515462" w:rsidP="00244F7A">
      <w:pPr>
        <w:pStyle w:val="EndNoteBibliography"/>
        <w:ind w:left="720" w:hanging="720"/>
        <w:jc w:val="left"/>
        <w:rPr>
          <w:rFonts w:asciiTheme="minorHAnsi" w:hAnsiTheme="minorHAnsi"/>
          <w:sz w:val="24"/>
          <w:szCs w:val="24"/>
        </w:rPr>
      </w:pPr>
      <w:r w:rsidRPr="00244F7A">
        <w:rPr>
          <w:rFonts w:asciiTheme="minorHAnsi" w:hAnsiTheme="minorHAnsi"/>
          <w:sz w:val="24"/>
          <w:szCs w:val="24"/>
        </w:rPr>
        <w:t>10</w:t>
      </w:r>
      <w:r w:rsidR="005E09B2" w:rsidRPr="00244F7A">
        <w:rPr>
          <w:rFonts w:asciiTheme="minorHAnsi" w:hAnsiTheme="minorHAnsi"/>
          <w:sz w:val="24"/>
          <w:szCs w:val="24"/>
        </w:rPr>
        <w:t>.</w:t>
      </w:r>
      <w:r w:rsidR="005E09B2" w:rsidRPr="00244F7A">
        <w:rPr>
          <w:rFonts w:asciiTheme="minorHAnsi" w:hAnsiTheme="minorHAnsi"/>
          <w:sz w:val="24"/>
          <w:szCs w:val="24"/>
        </w:rPr>
        <w:tab/>
        <w:t xml:space="preserve">Bhogal, H. and R.K. Sterling, </w:t>
      </w:r>
      <w:r w:rsidR="005E09B2" w:rsidRPr="00244F7A">
        <w:rPr>
          <w:rFonts w:asciiTheme="minorHAnsi" w:hAnsiTheme="minorHAnsi"/>
          <w:i/>
          <w:sz w:val="24"/>
          <w:szCs w:val="24"/>
        </w:rPr>
        <w:t>Staging of liver disease: which option is right for my patient?</w:t>
      </w:r>
      <w:r w:rsidR="005E09B2" w:rsidRPr="00244F7A">
        <w:rPr>
          <w:rFonts w:asciiTheme="minorHAnsi" w:hAnsiTheme="minorHAnsi"/>
          <w:sz w:val="24"/>
          <w:szCs w:val="24"/>
        </w:rPr>
        <w:t xml:space="preserve"> Infect Dis Clin North Am, 2012. </w:t>
      </w:r>
      <w:r w:rsidR="005E09B2" w:rsidRPr="00244F7A">
        <w:rPr>
          <w:rFonts w:asciiTheme="minorHAnsi" w:hAnsiTheme="minorHAnsi"/>
          <w:b/>
          <w:sz w:val="24"/>
          <w:szCs w:val="24"/>
        </w:rPr>
        <w:t>26</w:t>
      </w:r>
      <w:r w:rsidR="005E09B2" w:rsidRPr="00244F7A">
        <w:rPr>
          <w:rFonts w:asciiTheme="minorHAnsi" w:hAnsiTheme="minorHAnsi"/>
          <w:sz w:val="24"/>
          <w:szCs w:val="24"/>
        </w:rPr>
        <w:t>(4): p. 849-61.</w:t>
      </w:r>
    </w:p>
    <w:p w14:paraId="6795F246" w14:textId="233FE6B0" w:rsidR="00244F7A" w:rsidRPr="00244F7A" w:rsidRDefault="00244F7A" w:rsidP="005E09B2">
      <w:pPr>
        <w:pStyle w:val="EndNoteBibliography"/>
        <w:ind w:left="720" w:hanging="720"/>
        <w:jc w:val="left"/>
        <w:rPr>
          <w:rFonts w:asciiTheme="minorHAnsi" w:hAnsiTheme="minorHAnsi"/>
          <w:sz w:val="24"/>
          <w:szCs w:val="24"/>
        </w:rPr>
      </w:pPr>
      <w:r w:rsidRPr="00244F7A">
        <w:rPr>
          <w:rFonts w:asciiTheme="minorHAnsi" w:hAnsiTheme="minorHAnsi"/>
          <w:sz w:val="24"/>
          <w:szCs w:val="24"/>
        </w:rPr>
        <w:t xml:space="preserve">11.        </w:t>
      </w:r>
      <w:r w:rsidR="00B86309" w:rsidRPr="00244F7A">
        <w:rPr>
          <w:rFonts w:asciiTheme="minorHAnsi" w:hAnsiTheme="minorHAnsi"/>
          <w:sz w:val="24"/>
          <w:szCs w:val="24"/>
        </w:rPr>
        <w:t>University of Washington, http://www.hepatitisc.uw.edu/page/clinical-calculators/apri (accessed Aug 25, 2016).</w:t>
      </w:r>
    </w:p>
    <w:p w14:paraId="304DC86E" w14:textId="6581BC16" w:rsidR="00244F7A" w:rsidRPr="00244F7A" w:rsidRDefault="00244F7A" w:rsidP="00244F7A">
      <w:pPr>
        <w:pStyle w:val="EndNoteBibliography"/>
        <w:ind w:left="720" w:hanging="720"/>
        <w:jc w:val="left"/>
        <w:rPr>
          <w:sz w:val="24"/>
          <w:szCs w:val="24"/>
          <w:lang w:val="en"/>
        </w:rPr>
      </w:pPr>
      <w:r w:rsidRPr="00244F7A">
        <w:rPr>
          <w:sz w:val="24"/>
          <w:szCs w:val="24"/>
          <w:lang w:val="en"/>
        </w:rPr>
        <w:t>12.</w:t>
      </w:r>
      <w:r w:rsidRPr="00244F7A">
        <w:rPr>
          <w:sz w:val="24"/>
          <w:szCs w:val="24"/>
          <w:lang w:val="en"/>
        </w:rPr>
        <w:tab/>
      </w:r>
      <w:r w:rsidR="00B86309" w:rsidRPr="00244F7A">
        <w:rPr>
          <w:sz w:val="24"/>
          <w:szCs w:val="24"/>
          <w:lang w:val="en"/>
        </w:rPr>
        <w:t>Lin ZH, Xin YN, Dong QJ, et al. Performance of the aspartate aminotransferase-to-platelet ratio index for the staging of hepatitis C-related fibrosis: an updated meta-analysis. Hepatology. 2011;53:726-36.</w:t>
      </w:r>
    </w:p>
    <w:p w14:paraId="4DFE9B6C" w14:textId="0997E6BF" w:rsidR="00B86309" w:rsidRPr="00244F7A" w:rsidRDefault="00244F7A" w:rsidP="00244F7A">
      <w:pPr>
        <w:pStyle w:val="EndNoteBibliography"/>
        <w:ind w:left="720" w:hanging="720"/>
        <w:jc w:val="left"/>
      </w:pPr>
      <w:r w:rsidRPr="00244F7A">
        <w:rPr>
          <w:rFonts w:asciiTheme="minorHAnsi" w:hAnsiTheme="minorHAnsi" w:cs="Arial"/>
          <w:color w:val="333333"/>
          <w:sz w:val="24"/>
          <w:szCs w:val="24"/>
          <w:lang w:val="en"/>
        </w:rPr>
        <w:t xml:space="preserve">13. </w:t>
      </w:r>
      <w:r w:rsidR="00DC6514">
        <w:rPr>
          <w:rFonts w:asciiTheme="minorHAnsi" w:hAnsiTheme="minorHAnsi" w:cs="Arial"/>
          <w:color w:val="333333"/>
          <w:sz w:val="24"/>
          <w:szCs w:val="24"/>
          <w:lang w:val="en"/>
        </w:rPr>
        <w:tab/>
      </w:r>
      <w:r w:rsidR="00B86309" w:rsidRPr="00244F7A">
        <w:rPr>
          <w:rFonts w:asciiTheme="minorHAnsi" w:hAnsiTheme="minorHAnsi" w:cs="Arial"/>
          <w:color w:val="333333"/>
          <w:sz w:val="24"/>
          <w:szCs w:val="24"/>
          <w:lang w:val="en"/>
        </w:rPr>
        <w:t>Chou R, Wasson N. Blood tests to diagnose fibrosis or cirrhosis in patients with chronic hepatitis C virus infection: a systematic review. Ann Intern Med. 2013;158:807-20.</w:t>
      </w:r>
    </w:p>
    <w:p w14:paraId="4ADF3B21" w14:textId="16C8CC2E" w:rsidR="005E09B2" w:rsidRPr="001E5554" w:rsidRDefault="00515462" w:rsidP="005E09B2">
      <w:pPr>
        <w:pStyle w:val="EndNoteBibliography"/>
        <w:ind w:left="720" w:hanging="720"/>
        <w:jc w:val="left"/>
        <w:rPr>
          <w:rFonts w:asciiTheme="minorHAnsi" w:hAnsiTheme="minorHAnsi"/>
          <w:sz w:val="24"/>
          <w:szCs w:val="24"/>
        </w:rPr>
      </w:pPr>
      <w:r>
        <w:rPr>
          <w:rFonts w:asciiTheme="minorHAnsi" w:hAnsiTheme="minorHAnsi"/>
          <w:sz w:val="24"/>
          <w:szCs w:val="24"/>
        </w:rPr>
        <w:t>1</w:t>
      </w:r>
      <w:r w:rsidR="00244F7A">
        <w:rPr>
          <w:rFonts w:asciiTheme="minorHAnsi" w:hAnsiTheme="minorHAnsi"/>
          <w:sz w:val="24"/>
          <w:szCs w:val="24"/>
        </w:rPr>
        <w:t>4</w:t>
      </w:r>
      <w:r w:rsidR="005E09B2" w:rsidRPr="001E5554">
        <w:rPr>
          <w:rFonts w:asciiTheme="minorHAnsi" w:hAnsiTheme="minorHAnsi"/>
          <w:sz w:val="24"/>
          <w:szCs w:val="24"/>
        </w:rPr>
        <w:t>.</w:t>
      </w:r>
      <w:r w:rsidR="005E09B2" w:rsidRPr="001E5554">
        <w:rPr>
          <w:rFonts w:asciiTheme="minorHAnsi" w:hAnsiTheme="minorHAnsi"/>
          <w:sz w:val="24"/>
          <w:szCs w:val="24"/>
        </w:rPr>
        <w:tab/>
      </w:r>
      <w:r w:rsidR="005E09B2" w:rsidRPr="001E5554">
        <w:rPr>
          <w:rFonts w:asciiTheme="minorHAnsi" w:hAnsiTheme="minorHAnsi"/>
          <w:i/>
          <w:sz w:val="24"/>
          <w:szCs w:val="24"/>
        </w:rPr>
        <w:t>When and in Whom to Initiate HCV Therapy</w:t>
      </w:r>
      <w:r w:rsidR="005E09B2" w:rsidRPr="001E5554">
        <w:rPr>
          <w:rFonts w:asciiTheme="minorHAnsi" w:hAnsiTheme="minorHAnsi"/>
          <w:sz w:val="24"/>
          <w:szCs w:val="24"/>
        </w:rPr>
        <w:t xml:space="preserve">. Recommendations for Testing, Managing, and Treating Hepatitis C 2014 November 20, 2014 [cited 2014 December 3]; Available from: </w:t>
      </w:r>
      <w:hyperlink r:id="rId25" w:history="1">
        <w:r w:rsidR="005E09B2" w:rsidRPr="001E5554">
          <w:rPr>
            <w:rStyle w:val="Hyperlink"/>
            <w:rFonts w:asciiTheme="minorHAnsi" w:hAnsiTheme="minorHAnsi"/>
            <w:sz w:val="24"/>
            <w:szCs w:val="24"/>
          </w:rPr>
          <w:t>http://www.hcvguidelines.org/full-report/when-and-whom-initiate-hcv-therapy</w:t>
        </w:r>
      </w:hyperlink>
      <w:r w:rsidR="005E09B2" w:rsidRPr="001E5554">
        <w:rPr>
          <w:rFonts w:asciiTheme="minorHAnsi" w:hAnsiTheme="minorHAnsi"/>
          <w:sz w:val="24"/>
          <w:szCs w:val="24"/>
        </w:rPr>
        <w:t>.</w:t>
      </w:r>
    </w:p>
    <w:p w14:paraId="70EC2BB0" w14:textId="2CF76EAE" w:rsidR="005E09B2" w:rsidRPr="001E5554" w:rsidRDefault="005E09B2" w:rsidP="005E09B2">
      <w:pPr>
        <w:pStyle w:val="EndNoteBibliography"/>
        <w:ind w:left="720" w:hanging="720"/>
        <w:jc w:val="left"/>
        <w:rPr>
          <w:rFonts w:asciiTheme="minorHAnsi" w:hAnsiTheme="minorHAnsi"/>
          <w:sz w:val="24"/>
          <w:szCs w:val="24"/>
        </w:rPr>
      </w:pPr>
    </w:p>
    <w:p w14:paraId="6F2C38E2" w14:textId="6445BABF" w:rsidR="00316B47" w:rsidRPr="001E5554" w:rsidRDefault="005E09B2" w:rsidP="005E09B2">
      <w:pPr>
        <w:rPr>
          <w:rFonts w:asciiTheme="minorHAnsi" w:hAnsiTheme="minorHAnsi"/>
          <w:sz w:val="24"/>
          <w:szCs w:val="24"/>
        </w:rPr>
      </w:pPr>
      <w:r w:rsidRPr="001E5554">
        <w:rPr>
          <w:rFonts w:asciiTheme="minorHAnsi" w:hAnsiTheme="minorHAnsi"/>
          <w:sz w:val="24"/>
          <w:szCs w:val="24"/>
        </w:rPr>
        <w:fldChar w:fldCharType="end"/>
      </w:r>
    </w:p>
    <w:sectPr w:rsidR="00316B47" w:rsidRPr="001E5554" w:rsidSect="003C5EDF">
      <w:pgSz w:w="12240" w:h="15840"/>
      <w:pgMar w:top="1037" w:right="1440" w:bottom="1166" w:left="1440" w:header="634" w:footer="1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CF48A" w14:textId="77777777" w:rsidR="00012159" w:rsidRDefault="00012159" w:rsidP="008812AA">
      <w:pPr>
        <w:spacing w:before="0" w:after="0" w:line="240" w:lineRule="auto"/>
      </w:pPr>
      <w:r>
        <w:separator/>
      </w:r>
    </w:p>
  </w:endnote>
  <w:endnote w:type="continuationSeparator" w:id="0">
    <w:p w14:paraId="0E0A5878" w14:textId="77777777" w:rsidR="00012159" w:rsidRDefault="00012159" w:rsidP="008812AA">
      <w:pPr>
        <w:spacing w:before="0" w:after="0" w:line="240" w:lineRule="auto"/>
      </w:pPr>
      <w:r>
        <w:continuationSeparator/>
      </w:r>
    </w:p>
  </w:endnote>
  <w:endnote w:type="continuationNotice" w:id="1">
    <w:p w14:paraId="53129D0C" w14:textId="77777777" w:rsidR="00012159" w:rsidRDefault="0001215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E0187" w14:textId="77777777" w:rsidR="001120F6" w:rsidRDefault="001120F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9D8C" w14:textId="0409B3A4" w:rsidR="00BB26BD" w:rsidRDefault="00485699" w:rsidP="00D0175C">
    <w:pPr>
      <w:pStyle w:val="Footer"/>
    </w:pPr>
    <w:r>
      <w:t xml:space="preserve">December </w:t>
    </w:r>
    <w:r>
      <w:t>2016</w:t>
    </w:r>
    <w:bookmarkStart w:id="12" w:name="_GoBack"/>
    <w:bookmarkEnd w:id="12"/>
  </w:p>
  <w:p w14:paraId="3E699E4F" w14:textId="454F3DAB" w:rsidR="00BB26BD" w:rsidRPr="00A5249A" w:rsidRDefault="00BB26BD" w:rsidP="00D0175C">
    <w:pPr>
      <w:pStyle w:val="Footer"/>
    </w:pPr>
    <w:r>
      <w:tab/>
    </w:r>
    <w:r>
      <w:fldChar w:fldCharType="begin"/>
    </w:r>
    <w:r>
      <w:instrText xml:space="preserve"> PAGE   \* MERGEFORMAT </w:instrText>
    </w:r>
    <w:r>
      <w:fldChar w:fldCharType="separate"/>
    </w:r>
    <w:r w:rsidR="00485699">
      <w:rPr>
        <w:noProof/>
      </w:rPr>
      <w:t>11</w:t>
    </w:r>
    <w:r>
      <w:rPr>
        <w:noProof/>
      </w:rPr>
      <w:fldChar w:fldCharType="end"/>
    </w:r>
    <w:r>
      <w:tab/>
    </w:r>
  </w:p>
  <w:p w14:paraId="74EB2020" w14:textId="77777777" w:rsidR="00BB26BD" w:rsidRDefault="00BB26BD" w:rsidP="000C7BDF">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3D00" w14:textId="77777777" w:rsidR="001120F6" w:rsidRDefault="001120F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1F5CB" w14:textId="77777777" w:rsidR="00012159" w:rsidRDefault="00012159" w:rsidP="008812AA">
      <w:pPr>
        <w:spacing w:before="0" w:after="0" w:line="240" w:lineRule="auto"/>
      </w:pPr>
      <w:r>
        <w:separator/>
      </w:r>
    </w:p>
  </w:footnote>
  <w:footnote w:type="continuationSeparator" w:id="0">
    <w:p w14:paraId="12E5671E" w14:textId="77777777" w:rsidR="00012159" w:rsidRDefault="00012159" w:rsidP="008812AA">
      <w:pPr>
        <w:spacing w:before="0" w:after="0" w:line="240" w:lineRule="auto"/>
      </w:pPr>
      <w:r>
        <w:continuationSeparator/>
      </w:r>
    </w:p>
  </w:footnote>
  <w:footnote w:type="continuationNotice" w:id="1">
    <w:p w14:paraId="096263E3" w14:textId="77777777" w:rsidR="00012159" w:rsidRDefault="00012159">
      <w:pPr>
        <w:spacing w:before="0"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BE87B" w14:textId="77777777" w:rsidR="001120F6" w:rsidRDefault="001120F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765B5" w14:textId="19639AB1" w:rsidR="00BB26BD" w:rsidRPr="009F16CE" w:rsidRDefault="009F16CE" w:rsidP="009F16CE">
    <w:pPr>
      <w:pStyle w:val="Header"/>
      <w:jc w:val="center"/>
    </w:pPr>
    <w:r w:rsidRPr="009F16CE">
      <w:t xml:space="preserve"> </w:t>
    </w:r>
    <w:r w:rsidR="00796B29">
      <w:t>GUIDELINES</w:t>
    </w:r>
    <w:r w:rsidR="00B60F36" w:rsidRPr="009F16CE">
      <w:t xml:space="preserve"> FOR LOCAL</w:t>
    </w:r>
    <w:r w:rsidR="00BA3153" w:rsidRPr="009F16CE">
      <w:t xml:space="preserve"> USE AND CUSTOMIZATION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32EDC" w14:textId="77777777" w:rsidR="001120F6" w:rsidRDefault="001120F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433A"/>
    <w:multiLevelType w:val="hybridMultilevel"/>
    <w:tmpl w:val="B60C8DB0"/>
    <w:lvl w:ilvl="0" w:tplc="46D6043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521B8"/>
    <w:multiLevelType w:val="hybridMultilevel"/>
    <w:tmpl w:val="AC3A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35353"/>
    <w:multiLevelType w:val="hybridMultilevel"/>
    <w:tmpl w:val="31EA25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B8457D"/>
    <w:multiLevelType w:val="hybridMultilevel"/>
    <w:tmpl w:val="1B3AD43A"/>
    <w:lvl w:ilvl="0" w:tplc="46D604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036D9"/>
    <w:multiLevelType w:val="hybridMultilevel"/>
    <w:tmpl w:val="E9260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2C4A47"/>
    <w:multiLevelType w:val="hybridMultilevel"/>
    <w:tmpl w:val="6F52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957FF"/>
    <w:multiLevelType w:val="hybridMultilevel"/>
    <w:tmpl w:val="5354371A"/>
    <w:lvl w:ilvl="0" w:tplc="41582008">
      <w:start w:val="1"/>
      <w:numFmt w:val="bullet"/>
      <w:lvlText w:val="•"/>
      <w:lvlJc w:val="left"/>
      <w:pPr>
        <w:tabs>
          <w:tab w:val="num" w:pos="720"/>
        </w:tabs>
        <w:ind w:left="720" w:hanging="360"/>
      </w:pPr>
      <w:rPr>
        <w:rFonts w:ascii="Arial" w:hAnsi="Arial" w:hint="default"/>
      </w:rPr>
    </w:lvl>
    <w:lvl w:ilvl="1" w:tplc="52924646" w:tentative="1">
      <w:start w:val="1"/>
      <w:numFmt w:val="bullet"/>
      <w:lvlText w:val="•"/>
      <w:lvlJc w:val="left"/>
      <w:pPr>
        <w:tabs>
          <w:tab w:val="num" w:pos="1440"/>
        </w:tabs>
        <w:ind w:left="1440" w:hanging="360"/>
      </w:pPr>
      <w:rPr>
        <w:rFonts w:ascii="Arial" w:hAnsi="Arial" w:hint="default"/>
      </w:rPr>
    </w:lvl>
    <w:lvl w:ilvl="2" w:tplc="7722DA36" w:tentative="1">
      <w:start w:val="1"/>
      <w:numFmt w:val="bullet"/>
      <w:lvlText w:val="•"/>
      <w:lvlJc w:val="left"/>
      <w:pPr>
        <w:tabs>
          <w:tab w:val="num" w:pos="2160"/>
        </w:tabs>
        <w:ind w:left="2160" w:hanging="360"/>
      </w:pPr>
      <w:rPr>
        <w:rFonts w:ascii="Arial" w:hAnsi="Arial" w:hint="default"/>
      </w:rPr>
    </w:lvl>
    <w:lvl w:ilvl="3" w:tplc="F7CE3D16" w:tentative="1">
      <w:start w:val="1"/>
      <w:numFmt w:val="bullet"/>
      <w:lvlText w:val="•"/>
      <w:lvlJc w:val="left"/>
      <w:pPr>
        <w:tabs>
          <w:tab w:val="num" w:pos="2880"/>
        </w:tabs>
        <w:ind w:left="2880" w:hanging="360"/>
      </w:pPr>
      <w:rPr>
        <w:rFonts w:ascii="Arial" w:hAnsi="Arial" w:hint="default"/>
      </w:rPr>
    </w:lvl>
    <w:lvl w:ilvl="4" w:tplc="0212CAFC" w:tentative="1">
      <w:start w:val="1"/>
      <w:numFmt w:val="bullet"/>
      <w:lvlText w:val="•"/>
      <w:lvlJc w:val="left"/>
      <w:pPr>
        <w:tabs>
          <w:tab w:val="num" w:pos="3600"/>
        </w:tabs>
        <w:ind w:left="3600" w:hanging="360"/>
      </w:pPr>
      <w:rPr>
        <w:rFonts w:ascii="Arial" w:hAnsi="Arial" w:hint="default"/>
      </w:rPr>
    </w:lvl>
    <w:lvl w:ilvl="5" w:tplc="CAD6F278" w:tentative="1">
      <w:start w:val="1"/>
      <w:numFmt w:val="bullet"/>
      <w:lvlText w:val="•"/>
      <w:lvlJc w:val="left"/>
      <w:pPr>
        <w:tabs>
          <w:tab w:val="num" w:pos="4320"/>
        </w:tabs>
        <w:ind w:left="4320" w:hanging="360"/>
      </w:pPr>
      <w:rPr>
        <w:rFonts w:ascii="Arial" w:hAnsi="Arial" w:hint="default"/>
      </w:rPr>
    </w:lvl>
    <w:lvl w:ilvl="6" w:tplc="9AECF11A" w:tentative="1">
      <w:start w:val="1"/>
      <w:numFmt w:val="bullet"/>
      <w:lvlText w:val="•"/>
      <w:lvlJc w:val="left"/>
      <w:pPr>
        <w:tabs>
          <w:tab w:val="num" w:pos="5040"/>
        </w:tabs>
        <w:ind w:left="5040" w:hanging="360"/>
      </w:pPr>
      <w:rPr>
        <w:rFonts w:ascii="Arial" w:hAnsi="Arial" w:hint="default"/>
      </w:rPr>
    </w:lvl>
    <w:lvl w:ilvl="7" w:tplc="1AFC7512" w:tentative="1">
      <w:start w:val="1"/>
      <w:numFmt w:val="bullet"/>
      <w:lvlText w:val="•"/>
      <w:lvlJc w:val="left"/>
      <w:pPr>
        <w:tabs>
          <w:tab w:val="num" w:pos="5760"/>
        </w:tabs>
        <w:ind w:left="5760" w:hanging="360"/>
      </w:pPr>
      <w:rPr>
        <w:rFonts w:ascii="Arial" w:hAnsi="Arial" w:hint="default"/>
      </w:rPr>
    </w:lvl>
    <w:lvl w:ilvl="8" w:tplc="9B467174" w:tentative="1">
      <w:start w:val="1"/>
      <w:numFmt w:val="bullet"/>
      <w:lvlText w:val="•"/>
      <w:lvlJc w:val="left"/>
      <w:pPr>
        <w:tabs>
          <w:tab w:val="num" w:pos="6480"/>
        </w:tabs>
        <w:ind w:left="6480" w:hanging="360"/>
      </w:pPr>
      <w:rPr>
        <w:rFonts w:ascii="Arial" w:hAnsi="Arial" w:hint="default"/>
      </w:rPr>
    </w:lvl>
  </w:abstractNum>
  <w:abstractNum w:abstractNumId="7">
    <w:nsid w:val="39FC454A"/>
    <w:multiLevelType w:val="hybridMultilevel"/>
    <w:tmpl w:val="E6DC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346368"/>
    <w:multiLevelType w:val="hybridMultilevel"/>
    <w:tmpl w:val="B0066692"/>
    <w:lvl w:ilvl="0" w:tplc="6068FE7A">
      <w:start w:val="1"/>
      <w:numFmt w:val="decimal"/>
      <w:lvlText w:val="%1."/>
      <w:lvlJc w:val="left"/>
      <w:pPr>
        <w:ind w:left="720" w:hanging="360"/>
      </w:pPr>
      <w:rPr>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C7A69"/>
    <w:multiLevelType w:val="hybridMultilevel"/>
    <w:tmpl w:val="AA620BEC"/>
    <w:lvl w:ilvl="0" w:tplc="FA0A046C">
      <w:start w:val="1"/>
      <w:numFmt w:val="bullet"/>
      <w:lvlText w:val=""/>
      <w:lvlJc w:val="left"/>
      <w:pPr>
        <w:ind w:left="1080" w:hanging="360"/>
      </w:pPr>
      <w:rPr>
        <w:rFonts w:ascii="Symbol" w:hAnsi="Symbol" w:hint="default"/>
        <w:sz w:val="20"/>
        <w:szCs w:val="20"/>
      </w:rPr>
    </w:lvl>
    <w:lvl w:ilvl="1" w:tplc="921E274C">
      <w:start w:val="1"/>
      <w:numFmt w:val="bullet"/>
      <w:lvlText w:val=""/>
      <w:lvlJc w:val="left"/>
      <w:pPr>
        <w:ind w:left="1800" w:hanging="360"/>
      </w:pPr>
      <w:rPr>
        <w:rFonts w:ascii="Symbol" w:hAnsi="Symbol" w:hint="default"/>
        <w:sz w:val="20"/>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961497B"/>
    <w:multiLevelType w:val="hybridMultilevel"/>
    <w:tmpl w:val="F7506A0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5560BA1"/>
    <w:multiLevelType w:val="multilevel"/>
    <w:tmpl w:val="B4C0C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245A91"/>
    <w:multiLevelType w:val="hybridMultilevel"/>
    <w:tmpl w:val="31EA25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1523B6"/>
    <w:multiLevelType w:val="hybridMultilevel"/>
    <w:tmpl w:val="59A81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DB2B49"/>
    <w:multiLevelType w:val="hybridMultilevel"/>
    <w:tmpl w:val="7A38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C069B8"/>
    <w:multiLevelType w:val="hybridMultilevel"/>
    <w:tmpl w:val="DB389D1E"/>
    <w:lvl w:ilvl="0" w:tplc="1D42EB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6"/>
  </w:num>
  <w:num w:numId="5">
    <w:abstractNumId w:val="10"/>
  </w:num>
  <w:num w:numId="6">
    <w:abstractNumId w:val="5"/>
  </w:num>
  <w:num w:numId="7">
    <w:abstractNumId w:val="3"/>
  </w:num>
  <w:num w:numId="8">
    <w:abstractNumId w:val="0"/>
  </w:num>
  <w:num w:numId="9">
    <w:abstractNumId w:val="8"/>
  </w:num>
  <w:num w:numId="10">
    <w:abstractNumId w:val="14"/>
  </w:num>
  <w:num w:numId="11">
    <w:abstractNumId w:val="13"/>
  </w:num>
  <w:num w:numId="12">
    <w:abstractNumId w:val="4"/>
  </w:num>
  <w:num w:numId="13">
    <w:abstractNumId w:val="7"/>
  </w:num>
  <w:num w:numId="14">
    <w:abstractNumId w:val="1"/>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99"/>
    <w:rsid w:val="00012159"/>
    <w:rsid w:val="000853F8"/>
    <w:rsid w:val="00096185"/>
    <w:rsid w:val="00096D00"/>
    <w:rsid w:val="000C57F9"/>
    <w:rsid w:val="000C7BDF"/>
    <w:rsid w:val="000F329D"/>
    <w:rsid w:val="0010247A"/>
    <w:rsid w:val="00102C3C"/>
    <w:rsid w:val="00103834"/>
    <w:rsid w:val="001120F6"/>
    <w:rsid w:val="0012629E"/>
    <w:rsid w:val="001365D8"/>
    <w:rsid w:val="001438CB"/>
    <w:rsid w:val="00157436"/>
    <w:rsid w:val="00157CEA"/>
    <w:rsid w:val="0016218B"/>
    <w:rsid w:val="00162FAB"/>
    <w:rsid w:val="00172CA0"/>
    <w:rsid w:val="001733E5"/>
    <w:rsid w:val="001751C3"/>
    <w:rsid w:val="0017609E"/>
    <w:rsid w:val="00181EA5"/>
    <w:rsid w:val="00182018"/>
    <w:rsid w:val="001907F3"/>
    <w:rsid w:val="001946B1"/>
    <w:rsid w:val="001A5244"/>
    <w:rsid w:val="001A649B"/>
    <w:rsid w:val="001B351F"/>
    <w:rsid w:val="001C08C3"/>
    <w:rsid w:val="001C1662"/>
    <w:rsid w:val="001C6046"/>
    <w:rsid w:val="001C7C92"/>
    <w:rsid w:val="001E2A58"/>
    <w:rsid w:val="001E5554"/>
    <w:rsid w:val="002179E7"/>
    <w:rsid w:val="00217EAA"/>
    <w:rsid w:val="002322F5"/>
    <w:rsid w:val="0023537E"/>
    <w:rsid w:val="00244F7A"/>
    <w:rsid w:val="00293CE8"/>
    <w:rsid w:val="002B78E2"/>
    <w:rsid w:val="00316B47"/>
    <w:rsid w:val="00360396"/>
    <w:rsid w:val="00375A69"/>
    <w:rsid w:val="00382D84"/>
    <w:rsid w:val="003A7DA4"/>
    <w:rsid w:val="003C1B8D"/>
    <w:rsid w:val="003C5EDF"/>
    <w:rsid w:val="003D2164"/>
    <w:rsid w:val="003F6904"/>
    <w:rsid w:val="003F7B11"/>
    <w:rsid w:val="00431C31"/>
    <w:rsid w:val="0043792E"/>
    <w:rsid w:val="00443E5E"/>
    <w:rsid w:val="004711BD"/>
    <w:rsid w:val="00473245"/>
    <w:rsid w:val="0047471F"/>
    <w:rsid w:val="00485699"/>
    <w:rsid w:val="00492B7F"/>
    <w:rsid w:val="004E1A1D"/>
    <w:rsid w:val="004E54A8"/>
    <w:rsid w:val="004F632C"/>
    <w:rsid w:val="0050240F"/>
    <w:rsid w:val="00504F83"/>
    <w:rsid w:val="00513AD2"/>
    <w:rsid w:val="00515462"/>
    <w:rsid w:val="00516450"/>
    <w:rsid w:val="005321C6"/>
    <w:rsid w:val="005526DE"/>
    <w:rsid w:val="0057510A"/>
    <w:rsid w:val="005827D5"/>
    <w:rsid w:val="00595919"/>
    <w:rsid w:val="005B1AB2"/>
    <w:rsid w:val="005E05A7"/>
    <w:rsid w:val="005E09B2"/>
    <w:rsid w:val="005E4292"/>
    <w:rsid w:val="005F42C2"/>
    <w:rsid w:val="005F4F88"/>
    <w:rsid w:val="00611FEF"/>
    <w:rsid w:val="0062044D"/>
    <w:rsid w:val="00627974"/>
    <w:rsid w:val="00651FAB"/>
    <w:rsid w:val="00657F67"/>
    <w:rsid w:val="006911B8"/>
    <w:rsid w:val="006C4BC4"/>
    <w:rsid w:val="00705566"/>
    <w:rsid w:val="007340DE"/>
    <w:rsid w:val="0075070E"/>
    <w:rsid w:val="00756927"/>
    <w:rsid w:val="00771619"/>
    <w:rsid w:val="007725F1"/>
    <w:rsid w:val="0077370D"/>
    <w:rsid w:val="00787DB4"/>
    <w:rsid w:val="00796B29"/>
    <w:rsid w:val="007A59A0"/>
    <w:rsid w:val="007C3DE6"/>
    <w:rsid w:val="007C5D10"/>
    <w:rsid w:val="007D0776"/>
    <w:rsid w:val="00800ECC"/>
    <w:rsid w:val="00803BB1"/>
    <w:rsid w:val="0082656F"/>
    <w:rsid w:val="00826AF4"/>
    <w:rsid w:val="00841313"/>
    <w:rsid w:val="008478CB"/>
    <w:rsid w:val="00861385"/>
    <w:rsid w:val="00862D6E"/>
    <w:rsid w:val="0086484A"/>
    <w:rsid w:val="008812AA"/>
    <w:rsid w:val="00894404"/>
    <w:rsid w:val="008B02A4"/>
    <w:rsid w:val="008B0E6B"/>
    <w:rsid w:val="008D2886"/>
    <w:rsid w:val="008F7742"/>
    <w:rsid w:val="00920979"/>
    <w:rsid w:val="00921BF8"/>
    <w:rsid w:val="009327EE"/>
    <w:rsid w:val="00935DAF"/>
    <w:rsid w:val="009430B7"/>
    <w:rsid w:val="00951C22"/>
    <w:rsid w:val="0096704A"/>
    <w:rsid w:val="009A362C"/>
    <w:rsid w:val="009C4DEE"/>
    <w:rsid w:val="009F16CE"/>
    <w:rsid w:val="00A005C1"/>
    <w:rsid w:val="00A02194"/>
    <w:rsid w:val="00A23227"/>
    <w:rsid w:val="00A639F4"/>
    <w:rsid w:val="00A64950"/>
    <w:rsid w:val="00A7547E"/>
    <w:rsid w:val="00AE26E2"/>
    <w:rsid w:val="00AF443D"/>
    <w:rsid w:val="00B15866"/>
    <w:rsid w:val="00B17B61"/>
    <w:rsid w:val="00B23AF3"/>
    <w:rsid w:val="00B23AFC"/>
    <w:rsid w:val="00B45DA0"/>
    <w:rsid w:val="00B60F36"/>
    <w:rsid w:val="00B763EF"/>
    <w:rsid w:val="00B86309"/>
    <w:rsid w:val="00BA3153"/>
    <w:rsid w:val="00BB26BD"/>
    <w:rsid w:val="00BB3BD3"/>
    <w:rsid w:val="00BB47A6"/>
    <w:rsid w:val="00BB670D"/>
    <w:rsid w:val="00BC0D54"/>
    <w:rsid w:val="00C11E67"/>
    <w:rsid w:val="00C1218E"/>
    <w:rsid w:val="00C423A1"/>
    <w:rsid w:val="00C46F54"/>
    <w:rsid w:val="00C731B4"/>
    <w:rsid w:val="00D0175C"/>
    <w:rsid w:val="00D060E8"/>
    <w:rsid w:val="00D12E99"/>
    <w:rsid w:val="00D26F22"/>
    <w:rsid w:val="00D406AF"/>
    <w:rsid w:val="00D72D36"/>
    <w:rsid w:val="00D972C5"/>
    <w:rsid w:val="00DC2B03"/>
    <w:rsid w:val="00DC6514"/>
    <w:rsid w:val="00DF70CC"/>
    <w:rsid w:val="00E0729B"/>
    <w:rsid w:val="00E46994"/>
    <w:rsid w:val="00E50A50"/>
    <w:rsid w:val="00E53EF9"/>
    <w:rsid w:val="00E730D9"/>
    <w:rsid w:val="00E763B2"/>
    <w:rsid w:val="00EA0DC0"/>
    <w:rsid w:val="00EB01C7"/>
    <w:rsid w:val="00ED438F"/>
    <w:rsid w:val="00F20A8A"/>
    <w:rsid w:val="00F60120"/>
    <w:rsid w:val="00F65826"/>
    <w:rsid w:val="00F66F66"/>
    <w:rsid w:val="00F8756D"/>
    <w:rsid w:val="00FC075C"/>
    <w:rsid w:val="00FE07AF"/>
    <w:rsid w:val="00FE533A"/>
    <w:rsid w:val="00FF2ADA"/>
    <w:rsid w:val="00FF558B"/>
    <w:rsid w:val="00FF724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8E9E3E"/>
  <w15:docId w15:val="{C7E0311D-CDD4-438A-BAFC-87A1ECE7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2E99"/>
    <w:pPr>
      <w:spacing w:before="200" w:after="200" w:line="276" w:lineRule="auto"/>
    </w:pPr>
    <w:rPr>
      <w:rFonts w:eastAsia="Times New Roman"/>
      <w:lang w:bidi="en-US"/>
    </w:rPr>
  </w:style>
  <w:style w:type="paragraph" w:styleId="Heading1">
    <w:name w:val="heading 1"/>
    <w:basedOn w:val="Normal"/>
    <w:next w:val="Normal"/>
    <w:link w:val="Heading1Char"/>
    <w:qFormat/>
    <w:rsid w:val="00D12E99"/>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qFormat/>
    <w:rsid w:val="00D12E99"/>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iPriority w:val="9"/>
    <w:unhideWhenUsed/>
    <w:qFormat/>
    <w:rsid w:val="00504F83"/>
    <w:pPr>
      <w:keepNext/>
      <w:keepLines/>
      <w:spacing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8756D"/>
    <w:pPr>
      <w:keepNext/>
      <w:keepLines/>
      <w:spacing w:after="0"/>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2E99"/>
    <w:rPr>
      <w:rFonts w:ascii="Calibri" w:eastAsia="Times New Roman" w:hAnsi="Calibri" w:cs="Times New Roman"/>
      <w:b/>
      <w:bCs/>
      <w:caps/>
      <w:color w:val="FFFFFF"/>
      <w:spacing w:val="15"/>
      <w:shd w:val="clear" w:color="auto" w:fill="4F81BD"/>
      <w:lang w:bidi="en-US"/>
    </w:rPr>
  </w:style>
  <w:style w:type="character" w:customStyle="1" w:styleId="Heading2Char">
    <w:name w:val="Heading 2 Char"/>
    <w:link w:val="Heading2"/>
    <w:uiPriority w:val="9"/>
    <w:rsid w:val="00D12E99"/>
    <w:rPr>
      <w:rFonts w:ascii="Calibri" w:eastAsia="Times New Roman" w:hAnsi="Calibri" w:cs="Times New Roman"/>
      <w:caps/>
      <w:spacing w:val="15"/>
      <w:sz w:val="20"/>
      <w:szCs w:val="20"/>
      <w:shd w:val="clear" w:color="auto" w:fill="DBE5F1"/>
    </w:rPr>
  </w:style>
  <w:style w:type="paragraph" w:styleId="Header">
    <w:name w:val="header"/>
    <w:basedOn w:val="Normal"/>
    <w:link w:val="HeaderChar"/>
    <w:unhideWhenUsed/>
    <w:rsid w:val="00D12E99"/>
    <w:pPr>
      <w:tabs>
        <w:tab w:val="center" w:pos="4680"/>
        <w:tab w:val="right" w:pos="9360"/>
      </w:tabs>
    </w:pPr>
  </w:style>
  <w:style w:type="character" w:customStyle="1" w:styleId="HeaderChar">
    <w:name w:val="Header Char"/>
    <w:link w:val="Header"/>
    <w:rsid w:val="00D12E99"/>
    <w:rPr>
      <w:rFonts w:ascii="Calibri" w:eastAsia="Times New Roman" w:hAnsi="Calibri" w:cs="Times New Roman"/>
      <w:sz w:val="20"/>
      <w:szCs w:val="20"/>
      <w:lang w:bidi="en-US"/>
    </w:rPr>
  </w:style>
  <w:style w:type="paragraph" w:styleId="Footer">
    <w:name w:val="footer"/>
    <w:basedOn w:val="Normal"/>
    <w:link w:val="FooterChar"/>
    <w:uiPriority w:val="99"/>
    <w:unhideWhenUsed/>
    <w:rsid w:val="00D12E99"/>
    <w:pPr>
      <w:tabs>
        <w:tab w:val="center" w:pos="4680"/>
        <w:tab w:val="right" w:pos="9360"/>
      </w:tabs>
    </w:pPr>
  </w:style>
  <w:style w:type="character" w:customStyle="1" w:styleId="FooterChar">
    <w:name w:val="Footer Char"/>
    <w:link w:val="Footer"/>
    <w:uiPriority w:val="99"/>
    <w:rsid w:val="00D12E99"/>
    <w:rPr>
      <w:rFonts w:ascii="Calibri" w:eastAsia="Times New Roman" w:hAnsi="Calibri" w:cs="Times New Roman"/>
      <w:sz w:val="20"/>
      <w:szCs w:val="20"/>
      <w:lang w:bidi="en-US"/>
    </w:rPr>
  </w:style>
  <w:style w:type="paragraph" w:styleId="Title">
    <w:name w:val="Title"/>
    <w:basedOn w:val="Normal"/>
    <w:next w:val="Normal"/>
    <w:link w:val="TitleChar"/>
    <w:qFormat/>
    <w:rsid w:val="00D12E99"/>
    <w:pPr>
      <w:spacing w:before="720"/>
    </w:pPr>
    <w:rPr>
      <w:caps/>
      <w:color w:val="4F81BD"/>
      <w:spacing w:val="10"/>
      <w:kern w:val="28"/>
      <w:sz w:val="52"/>
      <w:szCs w:val="52"/>
    </w:rPr>
  </w:style>
  <w:style w:type="character" w:customStyle="1" w:styleId="TitleChar">
    <w:name w:val="Title Char"/>
    <w:link w:val="Title"/>
    <w:rsid w:val="00D12E99"/>
    <w:rPr>
      <w:rFonts w:ascii="Calibri" w:eastAsia="Times New Roman" w:hAnsi="Calibri" w:cs="Times New Roman"/>
      <w:caps/>
      <w:color w:val="4F81BD"/>
      <w:spacing w:val="10"/>
      <w:kern w:val="28"/>
      <w:sz w:val="52"/>
      <w:szCs w:val="52"/>
      <w:lang w:bidi="en-US"/>
    </w:rPr>
  </w:style>
  <w:style w:type="character" w:customStyle="1" w:styleId="apple-style-span">
    <w:name w:val="apple-style-span"/>
    <w:basedOn w:val="DefaultParagraphFont"/>
    <w:rsid w:val="00D12E99"/>
  </w:style>
  <w:style w:type="character" w:styleId="Hyperlink">
    <w:name w:val="Hyperlink"/>
    <w:uiPriority w:val="99"/>
    <w:unhideWhenUsed/>
    <w:rsid w:val="00D972C5"/>
    <w:rPr>
      <w:color w:val="0000FF"/>
      <w:u w:val="single"/>
    </w:rPr>
  </w:style>
  <w:style w:type="character" w:styleId="FollowedHyperlink">
    <w:name w:val="FollowedHyperlink"/>
    <w:uiPriority w:val="99"/>
    <w:semiHidden/>
    <w:unhideWhenUsed/>
    <w:rsid w:val="00D972C5"/>
    <w:rPr>
      <w:color w:val="800080"/>
      <w:u w:val="single"/>
    </w:rPr>
  </w:style>
  <w:style w:type="paragraph" w:styleId="BalloonText">
    <w:name w:val="Balloon Text"/>
    <w:basedOn w:val="Normal"/>
    <w:link w:val="BalloonTextChar"/>
    <w:uiPriority w:val="99"/>
    <w:semiHidden/>
    <w:unhideWhenUsed/>
    <w:rsid w:val="005B1AB2"/>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5B1AB2"/>
    <w:rPr>
      <w:rFonts w:ascii="Tahoma" w:eastAsia="Times New Roman" w:hAnsi="Tahoma" w:cs="Tahoma"/>
      <w:sz w:val="16"/>
      <w:szCs w:val="16"/>
      <w:lang w:bidi="en-US"/>
    </w:rPr>
  </w:style>
  <w:style w:type="paragraph" w:styleId="Revision">
    <w:name w:val="Revision"/>
    <w:hidden/>
    <w:uiPriority w:val="99"/>
    <w:semiHidden/>
    <w:rsid w:val="00375A69"/>
    <w:rPr>
      <w:rFonts w:eastAsia="Times New Roman"/>
      <w:lang w:bidi="en-US"/>
    </w:rPr>
  </w:style>
  <w:style w:type="character" w:styleId="CommentReference">
    <w:name w:val="annotation reference"/>
    <w:basedOn w:val="DefaultParagraphFont"/>
    <w:uiPriority w:val="99"/>
    <w:semiHidden/>
    <w:unhideWhenUsed/>
    <w:rsid w:val="00E0729B"/>
    <w:rPr>
      <w:sz w:val="16"/>
      <w:szCs w:val="16"/>
    </w:rPr>
  </w:style>
  <w:style w:type="paragraph" w:styleId="CommentText">
    <w:name w:val="annotation text"/>
    <w:basedOn w:val="Normal"/>
    <w:link w:val="CommentTextChar"/>
    <w:uiPriority w:val="99"/>
    <w:unhideWhenUsed/>
    <w:rsid w:val="00E0729B"/>
    <w:pPr>
      <w:spacing w:line="240" w:lineRule="auto"/>
    </w:pPr>
  </w:style>
  <w:style w:type="character" w:customStyle="1" w:styleId="CommentTextChar">
    <w:name w:val="Comment Text Char"/>
    <w:basedOn w:val="DefaultParagraphFont"/>
    <w:link w:val="CommentText"/>
    <w:uiPriority w:val="99"/>
    <w:rsid w:val="00E0729B"/>
    <w:rPr>
      <w:rFonts w:eastAsia="Times New Roman"/>
      <w:lang w:bidi="en-US"/>
    </w:rPr>
  </w:style>
  <w:style w:type="paragraph" w:styleId="CommentSubject">
    <w:name w:val="annotation subject"/>
    <w:basedOn w:val="CommentText"/>
    <w:next w:val="CommentText"/>
    <w:link w:val="CommentSubjectChar"/>
    <w:uiPriority w:val="99"/>
    <w:semiHidden/>
    <w:unhideWhenUsed/>
    <w:rsid w:val="00E0729B"/>
    <w:rPr>
      <w:b/>
      <w:bCs/>
    </w:rPr>
  </w:style>
  <w:style w:type="character" w:customStyle="1" w:styleId="CommentSubjectChar">
    <w:name w:val="Comment Subject Char"/>
    <w:basedOn w:val="CommentTextChar"/>
    <w:link w:val="CommentSubject"/>
    <w:uiPriority w:val="99"/>
    <w:semiHidden/>
    <w:rsid w:val="00E0729B"/>
    <w:rPr>
      <w:rFonts w:eastAsia="Times New Roman"/>
      <w:b/>
      <w:bCs/>
      <w:lang w:bidi="en-US"/>
    </w:rPr>
  </w:style>
  <w:style w:type="paragraph" w:styleId="ListParagraph">
    <w:name w:val="List Paragraph"/>
    <w:basedOn w:val="Normal"/>
    <w:uiPriority w:val="34"/>
    <w:qFormat/>
    <w:rsid w:val="001365D8"/>
    <w:pPr>
      <w:ind w:left="720"/>
      <w:contextualSpacing/>
    </w:pPr>
  </w:style>
  <w:style w:type="character" w:customStyle="1" w:styleId="Heading3Char">
    <w:name w:val="Heading 3 Char"/>
    <w:basedOn w:val="DefaultParagraphFont"/>
    <w:link w:val="Heading3"/>
    <w:uiPriority w:val="9"/>
    <w:rsid w:val="00504F83"/>
    <w:rPr>
      <w:rFonts w:asciiTheme="majorHAnsi" w:eastAsiaTheme="majorEastAsia" w:hAnsiTheme="majorHAnsi" w:cstheme="majorBidi"/>
      <w:b/>
      <w:bCs/>
      <w:color w:val="4F81BD" w:themeColor="accent1"/>
      <w:lang w:bidi="en-US"/>
    </w:rPr>
  </w:style>
  <w:style w:type="character" w:customStyle="1" w:styleId="Heading4Char">
    <w:name w:val="Heading 4 Char"/>
    <w:basedOn w:val="DefaultParagraphFont"/>
    <w:link w:val="Heading4"/>
    <w:uiPriority w:val="9"/>
    <w:rsid w:val="00F8756D"/>
    <w:rPr>
      <w:rFonts w:asciiTheme="majorHAnsi" w:eastAsiaTheme="majorEastAsia" w:hAnsiTheme="majorHAnsi" w:cstheme="majorBidi"/>
      <w:b/>
      <w:bCs/>
      <w:i/>
      <w:iCs/>
      <w:color w:val="4F81BD" w:themeColor="accent1"/>
      <w:sz w:val="24"/>
      <w:szCs w:val="24"/>
      <w:lang w:bidi="en-US"/>
    </w:rPr>
  </w:style>
  <w:style w:type="paragraph" w:customStyle="1" w:styleId="ColorfulList-Accent11">
    <w:name w:val="Colorful List - Accent 11"/>
    <w:basedOn w:val="Normal"/>
    <w:uiPriority w:val="34"/>
    <w:qFormat/>
    <w:locked/>
    <w:rsid w:val="000853F8"/>
    <w:pPr>
      <w:ind w:left="720"/>
      <w:contextualSpacing/>
    </w:pPr>
  </w:style>
  <w:style w:type="paragraph" w:customStyle="1" w:styleId="EndNoteBibliography">
    <w:name w:val="EndNote Bibliography"/>
    <w:basedOn w:val="Normal"/>
    <w:link w:val="EndNoteBibliographyChar"/>
    <w:rsid w:val="001E5554"/>
    <w:pPr>
      <w:spacing w:before="0" w:after="0" w:line="240" w:lineRule="auto"/>
      <w:jc w:val="both"/>
    </w:pPr>
    <w:rPr>
      <w:rFonts w:eastAsiaTheme="minorHAnsi" w:cstheme="minorBidi"/>
      <w:noProof/>
      <w:sz w:val="22"/>
      <w:szCs w:val="22"/>
      <w:lang w:bidi="ar-SA"/>
    </w:rPr>
  </w:style>
  <w:style w:type="character" w:customStyle="1" w:styleId="EndNoteBibliographyChar">
    <w:name w:val="EndNote Bibliography Char"/>
    <w:basedOn w:val="DefaultParagraphFont"/>
    <w:link w:val="EndNoteBibliography"/>
    <w:rsid w:val="001E5554"/>
    <w:rPr>
      <w:rFonts w:eastAsiaTheme="minorHAnsi" w:cstheme="minorBidi"/>
      <w:noProof/>
      <w:sz w:val="22"/>
      <w:szCs w:val="22"/>
    </w:rPr>
  </w:style>
  <w:style w:type="table" w:styleId="TableGrid">
    <w:name w:val="Table Grid"/>
    <w:basedOn w:val="TableNormal"/>
    <w:uiPriority w:val="59"/>
    <w:rsid w:val="001E5554"/>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4F632C"/>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03323">
      <w:bodyDiv w:val="1"/>
      <w:marLeft w:val="0"/>
      <w:marRight w:val="0"/>
      <w:marTop w:val="0"/>
      <w:marBottom w:val="0"/>
      <w:divBdr>
        <w:top w:val="none" w:sz="0" w:space="0" w:color="auto"/>
        <w:left w:val="none" w:sz="0" w:space="0" w:color="auto"/>
        <w:bottom w:val="none" w:sz="0" w:space="0" w:color="auto"/>
        <w:right w:val="none" w:sz="0" w:space="0" w:color="auto"/>
      </w:divBdr>
      <w:divsChild>
        <w:div w:id="749305800">
          <w:marLeft w:val="274"/>
          <w:marRight w:val="0"/>
          <w:marTop w:val="0"/>
          <w:marBottom w:val="0"/>
          <w:divBdr>
            <w:top w:val="none" w:sz="0" w:space="0" w:color="auto"/>
            <w:left w:val="none" w:sz="0" w:space="0" w:color="auto"/>
            <w:bottom w:val="none" w:sz="0" w:space="0" w:color="auto"/>
            <w:right w:val="none" w:sz="0" w:space="0" w:color="auto"/>
          </w:divBdr>
        </w:div>
        <w:div w:id="866019969">
          <w:marLeft w:val="274"/>
          <w:marRight w:val="0"/>
          <w:marTop w:val="0"/>
          <w:marBottom w:val="0"/>
          <w:divBdr>
            <w:top w:val="none" w:sz="0" w:space="0" w:color="auto"/>
            <w:left w:val="none" w:sz="0" w:space="0" w:color="auto"/>
            <w:bottom w:val="none" w:sz="0" w:space="0" w:color="auto"/>
            <w:right w:val="none" w:sz="0" w:space="0" w:color="auto"/>
          </w:divBdr>
        </w:div>
        <w:div w:id="1910649559">
          <w:marLeft w:val="274"/>
          <w:marRight w:val="0"/>
          <w:marTop w:val="0"/>
          <w:marBottom w:val="0"/>
          <w:divBdr>
            <w:top w:val="none" w:sz="0" w:space="0" w:color="auto"/>
            <w:left w:val="none" w:sz="0" w:space="0" w:color="auto"/>
            <w:bottom w:val="none" w:sz="0" w:space="0" w:color="auto"/>
            <w:right w:val="none" w:sz="0" w:space="0" w:color="auto"/>
          </w:divBdr>
        </w:div>
        <w:div w:id="1921519183">
          <w:marLeft w:val="274"/>
          <w:marRight w:val="0"/>
          <w:marTop w:val="0"/>
          <w:marBottom w:val="0"/>
          <w:divBdr>
            <w:top w:val="none" w:sz="0" w:space="0" w:color="auto"/>
            <w:left w:val="none" w:sz="0" w:space="0" w:color="auto"/>
            <w:bottom w:val="none" w:sz="0" w:space="0" w:color="auto"/>
            <w:right w:val="none" w:sz="0" w:space="0" w:color="auto"/>
          </w:divBdr>
        </w:div>
        <w:div w:id="541017633">
          <w:marLeft w:val="274"/>
          <w:marRight w:val="0"/>
          <w:marTop w:val="0"/>
          <w:marBottom w:val="0"/>
          <w:divBdr>
            <w:top w:val="none" w:sz="0" w:space="0" w:color="auto"/>
            <w:left w:val="none" w:sz="0" w:space="0" w:color="auto"/>
            <w:bottom w:val="none" w:sz="0" w:space="0" w:color="auto"/>
            <w:right w:val="none" w:sz="0" w:space="0" w:color="auto"/>
          </w:divBdr>
        </w:div>
        <w:div w:id="1368917912">
          <w:marLeft w:val="274"/>
          <w:marRight w:val="0"/>
          <w:marTop w:val="0"/>
          <w:marBottom w:val="0"/>
          <w:divBdr>
            <w:top w:val="none" w:sz="0" w:space="0" w:color="auto"/>
            <w:left w:val="none" w:sz="0" w:space="0" w:color="auto"/>
            <w:bottom w:val="none" w:sz="0" w:space="0" w:color="auto"/>
            <w:right w:val="none" w:sz="0" w:space="0" w:color="auto"/>
          </w:divBdr>
        </w:div>
        <w:div w:id="294988272">
          <w:marLeft w:val="274"/>
          <w:marRight w:val="0"/>
          <w:marTop w:val="0"/>
          <w:marBottom w:val="0"/>
          <w:divBdr>
            <w:top w:val="none" w:sz="0" w:space="0" w:color="auto"/>
            <w:left w:val="none" w:sz="0" w:space="0" w:color="auto"/>
            <w:bottom w:val="none" w:sz="0" w:space="0" w:color="auto"/>
            <w:right w:val="none" w:sz="0" w:space="0" w:color="auto"/>
          </w:divBdr>
        </w:div>
        <w:div w:id="1042679484">
          <w:marLeft w:val="274"/>
          <w:marRight w:val="0"/>
          <w:marTop w:val="0"/>
          <w:marBottom w:val="0"/>
          <w:divBdr>
            <w:top w:val="none" w:sz="0" w:space="0" w:color="auto"/>
            <w:left w:val="none" w:sz="0" w:space="0" w:color="auto"/>
            <w:bottom w:val="none" w:sz="0" w:space="0" w:color="auto"/>
            <w:right w:val="none" w:sz="0" w:space="0" w:color="auto"/>
          </w:divBdr>
        </w:div>
        <w:div w:id="1485121286">
          <w:marLeft w:val="274"/>
          <w:marRight w:val="0"/>
          <w:marTop w:val="0"/>
          <w:marBottom w:val="0"/>
          <w:divBdr>
            <w:top w:val="none" w:sz="0" w:space="0" w:color="auto"/>
            <w:left w:val="none" w:sz="0" w:space="0" w:color="auto"/>
            <w:bottom w:val="none" w:sz="0" w:space="0" w:color="auto"/>
            <w:right w:val="none" w:sz="0" w:space="0" w:color="auto"/>
          </w:divBdr>
        </w:div>
        <w:div w:id="1444572526">
          <w:marLeft w:val="274"/>
          <w:marRight w:val="0"/>
          <w:marTop w:val="0"/>
          <w:marBottom w:val="0"/>
          <w:divBdr>
            <w:top w:val="none" w:sz="0" w:space="0" w:color="auto"/>
            <w:left w:val="none" w:sz="0" w:space="0" w:color="auto"/>
            <w:bottom w:val="none" w:sz="0" w:space="0" w:color="auto"/>
            <w:right w:val="none" w:sz="0" w:space="0" w:color="auto"/>
          </w:divBdr>
        </w:div>
        <w:div w:id="63184388">
          <w:marLeft w:val="274"/>
          <w:marRight w:val="0"/>
          <w:marTop w:val="0"/>
          <w:marBottom w:val="0"/>
          <w:divBdr>
            <w:top w:val="none" w:sz="0" w:space="0" w:color="auto"/>
            <w:left w:val="none" w:sz="0" w:space="0" w:color="auto"/>
            <w:bottom w:val="none" w:sz="0" w:space="0" w:color="auto"/>
            <w:right w:val="none" w:sz="0" w:space="0" w:color="auto"/>
          </w:divBdr>
        </w:div>
        <w:div w:id="791173601">
          <w:marLeft w:val="274"/>
          <w:marRight w:val="0"/>
          <w:marTop w:val="0"/>
          <w:marBottom w:val="0"/>
          <w:divBdr>
            <w:top w:val="none" w:sz="0" w:space="0" w:color="auto"/>
            <w:left w:val="none" w:sz="0" w:space="0" w:color="auto"/>
            <w:bottom w:val="none" w:sz="0" w:space="0" w:color="auto"/>
            <w:right w:val="none" w:sz="0" w:space="0" w:color="auto"/>
          </w:divBdr>
        </w:div>
        <w:div w:id="1466578111">
          <w:marLeft w:val="274"/>
          <w:marRight w:val="0"/>
          <w:marTop w:val="0"/>
          <w:marBottom w:val="0"/>
          <w:divBdr>
            <w:top w:val="none" w:sz="0" w:space="0" w:color="auto"/>
            <w:left w:val="none" w:sz="0" w:space="0" w:color="auto"/>
            <w:bottom w:val="none" w:sz="0" w:space="0" w:color="auto"/>
            <w:right w:val="none" w:sz="0" w:space="0" w:color="auto"/>
          </w:divBdr>
        </w:div>
        <w:div w:id="19818487">
          <w:marLeft w:val="274"/>
          <w:marRight w:val="0"/>
          <w:marTop w:val="0"/>
          <w:marBottom w:val="0"/>
          <w:divBdr>
            <w:top w:val="none" w:sz="0" w:space="0" w:color="auto"/>
            <w:left w:val="none" w:sz="0" w:space="0" w:color="auto"/>
            <w:bottom w:val="none" w:sz="0" w:space="0" w:color="auto"/>
            <w:right w:val="none" w:sz="0" w:space="0" w:color="auto"/>
          </w:divBdr>
        </w:div>
      </w:divsChild>
    </w:div>
    <w:div w:id="592708951">
      <w:bodyDiv w:val="1"/>
      <w:marLeft w:val="0"/>
      <w:marRight w:val="0"/>
      <w:marTop w:val="0"/>
      <w:marBottom w:val="0"/>
      <w:divBdr>
        <w:top w:val="none" w:sz="0" w:space="0" w:color="auto"/>
        <w:left w:val="none" w:sz="0" w:space="0" w:color="auto"/>
        <w:bottom w:val="none" w:sz="0" w:space="0" w:color="auto"/>
        <w:right w:val="none" w:sz="0" w:space="0" w:color="auto"/>
      </w:divBdr>
      <w:divsChild>
        <w:div w:id="575554529">
          <w:marLeft w:val="274"/>
          <w:marRight w:val="0"/>
          <w:marTop w:val="0"/>
          <w:marBottom w:val="0"/>
          <w:divBdr>
            <w:top w:val="none" w:sz="0" w:space="0" w:color="auto"/>
            <w:left w:val="none" w:sz="0" w:space="0" w:color="auto"/>
            <w:bottom w:val="none" w:sz="0" w:space="0" w:color="auto"/>
            <w:right w:val="none" w:sz="0" w:space="0" w:color="auto"/>
          </w:divBdr>
        </w:div>
        <w:div w:id="1223057564">
          <w:marLeft w:val="274"/>
          <w:marRight w:val="0"/>
          <w:marTop w:val="0"/>
          <w:marBottom w:val="0"/>
          <w:divBdr>
            <w:top w:val="none" w:sz="0" w:space="0" w:color="auto"/>
            <w:left w:val="none" w:sz="0" w:space="0" w:color="auto"/>
            <w:bottom w:val="none" w:sz="0" w:space="0" w:color="auto"/>
            <w:right w:val="none" w:sz="0" w:space="0" w:color="auto"/>
          </w:divBdr>
        </w:div>
        <w:div w:id="1867712701">
          <w:marLeft w:val="274"/>
          <w:marRight w:val="0"/>
          <w:marTop w:val="0"/>
          <w:marBottom w:val="0"/>
          <w:divBdr>
            <w:top w:val="none" w:sz="0" w:space="0" w:color="auto"/>
            <w:left w:val="none" w:sz="0" w:space="0" w:color="auto"/>
            <w:bottom w:val="none" w:sz="0" w:space="0" w:color="auto"/>
            <w:right w:val="none" w:sz="0" w:space="0" w:color="auto"/>
          </w:divBdr>
        </w:div>
        <w:div w:id="2088568842">
          <w:marLeft w:val="274"/>
          <w:marRight w:val="0"/>
          <w:marTop w:val="0"/>
          <w:marBottom w:val="0"/>
          <w:divBdr>
            <w:top w:val="none" w:sz="0" w:space="0" w:color="auto"/>
            <w:left w:val="none" w:sz="0" w:space="0" w:color="auto"/>
            <w:bottom w:val="none" w:sz="0" w:space="0" w:color="auto"/>
            <w:right w:val="none" w:sz="0" w:space="0" w:color="auto"/>
          </w:divBdr>
        </w:div>
        <w:div w:id="1025135609">
          <w:marLeft w:val="274"/>
          <w:marRight w:val="0"/>
          <w:marTop w:val="0"/>
          <w:marBottom w:val="0"/>
          <w:divBdr>
            <w:top w:val="none" w:sz="0" w:space="0" w:color="auto"/>
            <w:left w:val="none" w:sz="0" w:space="0" w:color="auto"/>
            <w:bottom w:val="none" w:sz="0" w:space="0" w:color="auto"/>
            <w:right w:val="none" w:sz="0" w:space="0" w:color="auto"/>
          </w:divBdr>
        </w:div>
        <w:div w:id="1639334525">
          <w:marLeft w:val="274"/>
          <w:marRight w:val="0"/>
          <w:marTop w:val="0"/>
          <w:marBottom w:val="0"/>
          <w:divBdr>
            <w:top w:val="none" w:sz="0" w:space="0" w:color="auto"/>
            <w:left w:val="none" w:sz="0" w:space="0" w:color="auto"/>
            <w:bottom w:val="none" w:sz="0" w:space="0" w:color="auto"/>
            <w:right w:val="none" w:sz="0" w:space="0" w:color="auto"/>
          </w:divBdr>
        </w:div>
        <w:div w:id="946038513">
          <w:marLeft w:val="274"/>
          <w:marRight w:val="0"/>
          <w:marTop w:val="0"/>
          <w:marBottom w:val="0"/>
          <w:divBdr>
            <w:top w:val="none" w:sz="0" w:space="0" w:color="auto"/>
            <w:left w:val="none" w:sz="0" w:space="0" w:color="auto"/>
            <w:bottom w:val="none" w:sz="0" w:space="0" w:color="auto"/>
            <w:right w:val="none" w:sz="0" w:space="0" w:color="auto"/>
          </w:divBdr>
        </w:div>
        <w:div w:id="387073585">
          <w:marLeft w:val="274"/>
          <w:marRight w:val="0"/>
          <w:marTop w:val="0"/>
          <w:marBottom w:val="0"/>
          <w:divBdr>
            <w:top w:val="none" w:sz="0" w:space="0" w:color="auto"/>
            <w:left w:val="none" w:sz="0" w:space="0" w:color="auto"/>
            <w:bottom w:val="none" w:sz="0" w:space="0" w:color="auto"/>
            <w:right w:val="none" w:sz="0" w:space="0" w:color="auto"/>
          </w:divBdr>
        </w:div>
        <w:div w:id="1129670261">
          <w:marLeft w:val="274"/>
          <w:marRight w:val="0"/>
          <w:marTop w:val="0"/>
          <w:marBottom w:val="0"/>
          <w:divBdr>
            <w:top w:val="none" w:sz="0" w:space="0" w:color="auto"/>
            <w:left w:val="none" w:sz="0" w:space="0" w:color="auto"/>
            <w:bottom w:val="none" w:sz="0" w:space="0" w:color="auto"/>
            <w:right w:val="none" w:sz="0" w:space="0" w:color="auto"/>
          </w:divBdr>
        </w:div>
        <w:div w:id="21131628">
          <w:marLeft w:val="274"/>
          <w:marRight w:val="0"/>
          <w:marTop w:val="0"/>
          <w:marBottom w:val="0"/>
          <w:divBdr>
            <w:top w:val="none" w:sz="0" w:space="0" w:color="auto"/>
            <w:left w:val="none" w:sz="0" w:space="0" w:color="auto"/>
            <w:bottom w:val="none" w:sz="0" w:space="0" w:color="auto"/>
            <w:right w:val="none" w:sz="0" w:space="0" w:color="auto"/>
          </w:divBdr>
        </w:div>
        <w:div w:id="1017269694">
          <w:marLeft w:val="274"/>
          <w:marRight w:val="0"/>
          <w:marTop w:val="0"/>
          <w:marBottom w:val="0"/>
          <w:divBdr>
            <w:top w:val="none" w:sz="0" w:space="0" w:color="auto"/>
            <w:left w:val="none" w:sz="0" w:space="0" w:color="auto"/>
            <w:bottom w:val="none" w:sz="0" w:space="0" w:color="auto"/>
            <w:right w:val="none" w:sz="0" w:space="0" w:color="auto"/>
          </w:divBdr>
        </w:div>
        <w:div w:id="696589044">
          <w:marLeft w:val="274"/>
          <w:marRight w:val="0"/>
          <w:marTop w:val="0"/>
          <w:marBottom w:val="0"/>
          <w:divBdr>
            <w:top w:val="none" w:sz="0" w:space="0" w:color="auto"/>
            <w:left w:val="none" w:sz="0" w:space="0" w:color="auto"/>
            <w:bottom w:val="none" w:sz="0" w:space="0" w:color="auto"/>
            <w:right w:val="none" w:sz="0" w:space="0" w:color="auto"/>
          </w:divBdr>
        </w:div>
        <w:div w:id="2067607021">
          <w:marLeft w:val="274"/>
          <w:marRight w:val="0"/>
          <w:marTop w:val="0"/>
          <w:marBottom w:val="0"/>
          <w:divBdr>
            <w:top w:val="none" w:sz="0" w:space="0" w:color="auto"/>
            <w:left w:val="none" w:sz="0" w:space="0" w:color="auto"/>
            <w:bottom w:val="none" w:sz="0" w:space="0" w:color="auto"/>
            <w:right w:val="none" w:sz="0" w:space="0" w:color="auto"/>
          </w:divBdr>
        </w:div>
        <w:div w:id="1627733327">
          <w:marLeft w:val="274"/>
          <w:marRight w:val="0"/>
          <w:marTop w:val="0"/>
          <w:marBottom w:val="0"/>
          <w:divBdr>
            <w:top w:val="none" w:sz="0" w:space="0" w:color="auto"/>
            <w:left w:val="none" w:sz="0" w:space="0" w:color="auto"/>
            <w:bottom w:val="none" w:sz="0" w:space="0" w:color="auto"/>
            <w:right w:val="none" w:sz="0" w:space="0" w:color="auto"/>
          </w:divBdr>
        </w:div>
      </w:divsChild>
    </w:div>
    <w:div w:id="679043455">
      <w:bodyDiv w:val="1"/>
      <w:marLeft w:val="0"/>
      <w:marRight w:val="0"/>
      <w:marTop w:val="0"/>
      <w:marBottom w:val="0"/>
      <w:divBdr>
        <w:top w:val="none" w:sz="0" w:space="0" w:color="auto"/>
        <w:left w:val="none" w:sz="0" w:space="0" w:color="auto"/>
        <w:bottom w:val="none" w:sz="0" w:space="0" w:color="auto"/>
        <w:right w:val="none" w:sz="0" w:space="0" w:color="auto"/>
      </w:divBdr>
    </w:div>
    <w:div w:id="1133065317">
      <w:bodyDiv w:val="1"/>
      <w:marLeft w:val="0"/>
      <w:marRight w:val="0"/>
      <w:marTop w:val="0"/>
      <w:marBottom w:val="0"/>
      <w:divBdr>
        <w:top w:val="none" w:sz="0" w:space="0" w:color="auto"/>
        <w:left w:val="none" w:sz="0" w:space="0" w:color="auto"/>
        <w:bottom w:val="none" w:sz="0" w:space="0" w:color="auto"/>
        <w:right w:val="none" w:sz="0" w:space="0" w:color="auto"/>
      </w:divBdr>
      <w:divsChild>
        <w:div w:id="1815171049">
          <w:marLeft w:val="0"/>
          <w:marRight w:val="0"/>
          <w:marTop w:val="0"/>
          <w:marBottom w:val="0"/>
          <w:divBdr>
            <w:top w:val="none" w:sz="0" w:space="0" w:color="auto"/>
            <w:left w:val="none" w:sz="0" w:space="0" w:color="auto"/>
            <w:bottom w:val="none" w:sz="0" w:space="0" w:color="auto"/>
            <w:right w:val="none" w:sz="0" w:space="0" w:color="auto"/>
          </w:divBdr>
          <w:divsChild>
            <w:div w:id="683702493">
              <w:marLeft w:val="0"/>
              <w:marRight w:val="0"/>
              <w:marTop w:val="0"/>
              <w:marBottom w:val="0"/>
              <w:divBdr>
                <w:top w:val="none" w:sz="0" w:space="0" w:color="auto"/>
                <w:left w:val="none" w:sz="0" w:space="0" w:color="auto"/>
                <w:bottom w:val="none" w:sz="0" w:space="0" w:color="auto"/>
                <w:right w:val="none" w:sz="0" w:space="0" w:color="auto"/>
              </w:divBdr>
              <w:divsChild>
                <w:div w:id="359167652">
                  <w:marLeft w:val="0"/>
                  <w:marRight w:val="0"/>
                  <w:marTop w:val="180"/>
                  <w:marBottom w:val="0"/>
                  <w:divBdr>
                    <w:top w:val="none" w:sz="0" w:space="0" w:color="auto"/>
                    <w:left w:val="none" w:sz="0" w:space="0" w:color="auto"/>
                    <w:bottom w:val="none" w:sz="0" w:space="0" w:color="auto"/>
                    <w:right w:val="none" w:sz="0" w:space="0" w:color="auto"/>
                  </w:divBdr>
                  <w:divsChild>
                    <w:div w:id="1523981081">
                      <w:marLeft w:val="0"/>
                      <w:marRight w:val="0"/>
                      <w:marTop w:val="0"/>
                      <w:marBottom w:val="0"/>
                      <w:divBdr>
                        <w:top w:val="none" w:sz="0" w:space="0" w:color="auto"/>
                        <w:left w:val="none" w:sz="0" w:space="0" w:color="auto"/>
                        <w:bottom w:val="none" w:sz="0" w:space="0" w:color="auto"/>
                        <w:right w:val="none" w:sz="0" w:space="0" w:color="auto"/>
                      </w:divBdr>
                      <w:divsChild>
                        <w:div w:id="973100724">
                          <w:marLeft w:val="3900"/>
                          <w:marRight w:val="180"/>
                          <w:marTop w:val="0"/>
                          <w:marBottom w:val="0"/>
                          <w:divBdr>
                            <w:top w:val="single" w:sz="6" w:space="9" w:color="B6B6B4"/>
                            <w:left w:val="single" w:sz="6" w:space="9" w:color="B6B6B4"/>
                            <w:bottom w:val="single" w:sz="6" w:space="9" w:color="B6B6B4"/>
                            <w:right w:val="single" w:sz="6" w:space="9" w:color="B6B6B4"/>
                          </w:divBdr>
                          <w:divsChild>
                            <w:div w:id="1394304886">
                              <w:marLeft w:val="0"/>
                              <w:marRight w:val="0"/>
                              <w:marTop w:val="0"/>
                              <w:marBottom w:val="0"/>
                              <w:divBdr>
                                <w:top w:val="none" w:sz="0" w:space="0" w:color="auto"/>
                                <w:left w:val="none" w:sz="0" w:space="0" w:color="auto"/>
                                <w:bottom w:val="none" w:sz="0" w:space="0" w:color="auto"/>
                                <w:right w:val="none" w:sz="0" w:space="0" w:color="auto"/>
                              </w:divBdr>
                              <w:divsChild>
                                <w:div w:id="1131091972">
                                  <w:marLeft w:val="0"/>
                                  <w:marRight w:val="0"/>
                                  <w:marTop w:val="0"/>
                                  <w:marBottom w:val="0"/>
                                  <w:divBdr>
                                    <w:top w:val="none" w:sz="0" w:space="0" w:color="auto"/>
                                    <w:left w:val="none" w:sz="0" w:space="0" w:color="auto"/>
                                    <w:bottom w:val="none" w:sz="0" w:space="0" w:color="auto"/>
                                    <w:right w:val="none" w:sz="0" w:space="0" w:color="auto"/>
                                  </w:divBdr>
                                  <w:divsChild>
                                    <w:div w:id="606622411">
                                      <w:marLeft w:val="0"/>
                                      <w:marRight w:val="0"/>
                                      <w:marTop w:val="0"/>
                                      <w:marBottom w:val="0"/>
                                      <w:divBdr>
                                        <w:top w:val="none" w:sz="0" w:space="0" w:color="auto"/>
                                        <w:left w:val="none" w:sz="0" w:space="0" w:color="auto"/>
                                        <w:bottom w:val="none" w:sz="0" w:space="0" w:color="auto"/>
                                        <w:right w:val="none" w:sz="0" w:space="0" w:color="auto"/>
                                      </w:divBdr>
                                      <w:divsChild>
                                        <w:div w:id="1478112167">
                                          <w:marLeft w:val="0"/>
                                          <w:marRight w:val="0"/>
                                          <w:marTop w:val="0"/>
                                          <w:marBottom w:val="225"/>
                                          <w:divBdr>
                                            <w:top w:val="none" w:sz="0" w:space="0" w:color="auto"/>
                                            <w:left w:val="none" w:sz="0" w:space="0" w:color="auto"/>
                                            <w:bottom w:val="none" w:sz="0" w:space="0" w:color="auto"/>
                                            <w:right w:val="none" w:sz="0" w:space="0" w:color="auto"/>
                                          </w:divBdr>
                                          <w:divsChild>
                                            <w:div w:id="16218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8952775">
      <w:bodyDiv w:val="1"/>
      <w:marLeft w:val="0"/>
      <w:marRight w:val="0"/>
      <w:marTop w:val="0"/>
      <w:marBottom w:val="0"/>
      <w:divBdr>
        <w:top w:val="none" w:sz="0" w:space="0" w:color="auto"/>
        <w:left w:val="none" w:sz="0" w:space="0" w:color="auto"/>
        <w:bottom w:val="none" w:sz="0" w:space="0" w:color="auto"/>
        <w:right w:val="none" w:sz="0" w:space="0" w:color="auto"/>
      </w:divBdr>
      <w:divsChild>
        <w:div w:id="1205217889">
          <w:marLeft w:val="0"/>
          <w:marRight w:val="0"/>
          <w:marTop w:val="0"/>
          <w:marBottom w:val="0"/>
          <w:divBdr>
            <w:top w:val="none" w:sz="0" w:space="0" w:color="auto"/>
            <w:left w:val="none" w:sz="0" w:space="0" w:color="auto"/>
            <w:bottom w:val="none" w:sz="0" w:space="0" w:color="auto"/>
            <w:right w:val="none" w:sz="0" w:space="0" w:color="auto"/>
          </w:divBdr>
          <w:divsChild>
            <w:div w:id="1651402914">
              <w:marLeft w:val="0"/>
              <w:marRight w:val="0"/>
              <w:marTop w:val="0"/>
              <w:marBottom w:val="0"/>
              <w:divBdr>
                <w:top w:val="none" w:sz="0" w:space="0" w:color="auto"/>
                <w:left w:val="none" w:sz="0" w:space="0" w:color="auto"/>
                <w:bottom w:val="none" w:sz="0" w:space="0" w:color="auto"/>
                <w:right w:val="none" w:sz="0" w:space="0" w:color="auto"/>
              </w:divBdr>
              <w:divsChild>
                <w:div w:id="1132285923">
                  <w:marLeft w:val="0"/>
                  <w:marRight w:val="0"/>
                  <w:marTop w:val="180"/>
                  <w:marBottom w:val="0"/>
                  <w:divBdr>
                    <w:top w:val="none" w:sz="0" w:space="0" w:color="auto"/>
                    <w:left w:val="none" w:sz="0" w:space="0" w:color="auto"/>
                    <w:bottom w:val="none" w:sz="0" w:space="0" w:color="auto"/>
                    <w:right w:val="none" w:sz="0" w:space="0" w:color="auto"/>
                  </w:divBdr>
                  <w:divsChild>
                    <w:div w:id="986326354">
                      <w:marLeft w:val="0"/>
                      <w:marRight w:val="0"/>
                      <w:marTop w:val="0"/>
                      <w:marBottom w:val="0"/>
                      <w:divBdr>
                        <w:top w:val="none" w:sz="0" w:space="0" w:color="auto"/>
                        <w:left w:val="none" w:sz="0" w:space="0" w:color="auto"/>
                        <w:bottom w:val="none" w:sz="0" w:space="0" w:color="auto"/>
                        <w:right w:val="none" w:sz="0" w:space="0" w:color="auto"/>
                      </w:divBdr>
                      <w:divsChild>
                        <w:div w:id="688991680">
                          <w:marLeft w:val="3900"/>
                          <w:marRight w:val="180"/>
                          <w:marTop w:val="0"/>
                          <w:marBottom w:val="0"/>
                          <w:divBdr>
                            <w:top w:val="single" w:sz="6" w:space="9" w:color="B6B6B4"/>
                            <w:left w:val="single" w:sz="6" w:space="9" w:color="B6B6B4"/>
                            <w:bottom w:val="single" w:sz="6" w:space="9" w:color="B6B6B4"/>
                            <w:right w:val="single" w:sz="6" w:space="9" w:color="B6B6B4"/>
                          </w:divBdr>
                          <w:divsChild>
                            <w:div w:id="1700545485">
                              <w:marLeft w:val="0"/>
                              <w:marRight w:val="0"/>
                              <w:marTop w:val="0"/>
                              <w:marBottom w:val="0"/>
                              <w:divBdr>
                                <w:top w:val="none" w:sz="0" w:space="0" w:color="auto"/>
                                <w:left w:val="none" w:sz="0" w:space="0" w:color="auto"/>
                                <w:bottom w:val="none" w:sz="0" w:space="0" w:color="auto"/>
                                <w:right w:val="none" w:sz="0" w:space="0" w:color="auto"/>
                              </w:divBdr>
                              <w:divsChild>
                                <w:div w:id="273756957">
                                  <w:marLeft w:val="0"/>
                                  <w:marRight w:val="0"/>
                                  <w:marTop w:val="0"/>
                                  <w:marBottom w:val="0"/>
                                  <w:divBdr>
                                    <w:top w:val="none" w:sz="0" w:space="0" w:color="auto"/>
                                    <w:left w:val="none" w:sz="0" w:space="0" w:color="auto"/>
                                    <w:bottom w:val="none" w:sz="0" w:space="0" w:color="auto"/>
                                    <w:right w:val="none" w:sz="0" w:space="0" w:color="auto"/>
                                  </w:divBdr>
                                  <w:divsChild>
                                    <w:div w:id="1039011094">
                                      <w:marLeft w:val="0"/>
                                      <w:marRight w:val="0"/>
                                      <w:marTop w:val="0"/>
                                      <w:marBottom w:val="0"/>
                                      <w:divBdr>
                                        <w:top w:val="none" w:sz="0" w:space="0" w:color="auto"/>
                                        <w:left w:val="none" w:sz="0" w:space="0" w:color="auto"/>
                                        <w:bottom w:val="none" w:sz="0" w:space="0" w:color="auto"/>
                                        <w:right w:val="none" w:sz="0" w:space="0" w:color="auto"/>
                                      </w:divBdr>
                                      <w:divsChild>
                                        <w:div w:id="1620606870">
                                          <w:marLeft w:val="0"/>
                                          <w:marRight w:val="0"/>
                                          <w:marTop w:val="0"/>
                                          <w:marBottom w:val="225"/>
                                          <w:divBdr>
                                            <w:top w:val="none" w:sz="0" w:space="0" w:color="auto"/>
                                            <w:left w:val="none" w:sz="0" w:space="0" w:color="auto"/>
                                            <w:bottom w:val="none" w:sz="0" w:space="0" w:color="auto"/>
                                            <w:right w:val="none" w:sz="0" w:space="0" w:color="auto"/>
                                          </w:divBdr>
                                          <w:divsChild>
                                            <w:div w:id="17068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dc.gov/mmwr/PDF/RR/RR4719.pdf" TargetMode="External"/><Relationship Id="rId20" Type="http://schemas.openxmlformats.org/officeDocument/2006/relationships/image" Target="media/image3.png"/><Relationship Id="rId21" Type="http://schemas.openxmlformats.org/officeDocument/2006/relationships/hyperlink" Target="http://www.cdc.gov/hepatitis/Statistics/2012Surveillance/Commentary.htm" TargetMode="External"/><Relationship Id="rId22" Type="http://schemas.openxmlformats.org/officeDocument/2006/relationships/hyperlink" Target="http://www.cdc.gov/hepatitis/HCV/GuidelinesC.htm" TargetMode="External"/><Relationship Id="rId23" Type="http://schemas.openxmlformats.org/officeDocument/2006/relationships/hyperlink" Target="http://www.hcvguidelines.org/full-report/testing-and-linkage-care-table-1-fda-approved-commercially-available-anti-hcv-screening" TargetMode="External"/><Relationship Id="rId24" Type="http://schemas.openxmlformats.org/officeDocument/2006/relationships/hyperlink" Target="http://www.hepatitisc.uw.edu/go/evaluation-staging-monitoring/initial-evaluation-chronic/core-concept/all" TargetMode="External"/><Relationship Id="rId25" Type="http://schemas.openxmlformats.org/officeDocument/2006/relationships/hyperlink" Target="http://www.hcvguidelines.org/full-report/when-and-whom-initiate-hcv-therapy"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cdc.gov/hepatitis/HCV/PDFs/hcv_flow.pdf" TargetMode="External"/><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hyperlink" Target="http://www.hcvguidelines.org/" TargetMode="External"/><Relationship Id="rId19" Type="http://schemas.openxmlformats.org/officeDocument/2006/relationships/image" Target="media/image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dc.gov/mmwr/pdf/rr/rr61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284EB-5B3F-E54A-B329-A6CBF6D0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5270</Words>
  <Characters>30042</Characters>
  <Application>Microsoft Macintosh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35242</CharactersWithSpaces>
  <SharedDoc>false</SharedDoc>
  <HLinks>
    <vt:vector size="6" baseType="variant">
      <vt:variant>
        <vt:i4>2949166</vt:i4>
      </vt:variant>
      <vt:variant>
        <vt:i4>9</vt:i4>
      </vt:variant>
      <vt:variant>
        <vt:i4>0</vt:i4>
      </vt:variant>
      <vt:variant>
        <vt:i4>5</vt:i4>
      </vt:variant>
      <vt:variant>
        <vt:lpwstr>http://www.cdc.gov/std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taylor</dc:creator>
  <cp:lastModifiedBy>Microsoft Office User</cp:lastModifiedBy>
  <cp:revision>2</cp:revision>
  <dcterms:created xsi:type="dcterms:W3CDTF">2016-12-20T18:03:00Z</dcterms:created>
  <dcterms:modified xsi:type="dcterms:W3CDTF">2016-12-20T18:03:00Z</dcterms:modified>
</cp:coreProperties>
</file>